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Date of Report (Date of earliest event reported): December 7, 2015 (December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FREESCALE SEMICONDUCTOR, LTD.</w:t>
      </w:r>
      <w:r>
        <w:rPr>
          <w:rFonts w:ascii="Arial" w:cs="Arial" w:eastAsia="Arial" w:hAnsi="Arial"/>
          <w:sz w:val="73"/>
          <w:szCs w:val="73"/>
          <w:b w:val="1"/>
          <w:bCs w:val="1"/>
          <w:color w:val="auto"/>
          <w:vertAlign w:val="superscript"/>
        </w:rPr>
        <w:t>*</w:t>
      </w: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001-35184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98-0522138</w:t>
      </w:r>
    </w:p>
    <w:p>
      <w:pPr>
        <w:spacing w:after="0" w:line="31" w:lineRule="exact"/>
        <w:rPr>
          <w:sz w:val="24"/>
          <w:szCs w:val="24"/>
          <w:color w:val="auto"/>
        </w:rPr>
      </w:pPr>
    </w:p>
    <w:p>
      <w:pPr>
        <w:sectPr>
          <w:pgSz w:w="11900" w:h="16838" w:orient="portrait"/>
          <w:cols w:equalWidth="0" w:num="3">
            <w:col w:w="4840" w:space="720"/>
            <w:col w:w="2940" w:space="720"/>
            <w:col w:w="208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820" w:space="720"/>
            <w:col w:w="2840" w:space="720"/>
            <w:col w:w="220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6501 William Cannon Drive West, Austin, Texas 78735</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(512) 895-2000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220" w:right="240" w:hanging="215"/>
        <w:spacing w:after="0" w:line="342" w:lineRule="auto"/>
        <w:rPr>
          <w:sz w:val="20"/>
          <w:szCs w:val="20"/>
          <w:color w:val="auto"/>
        </w:rPr>
      </w:pPr>
      <w:r>
        <w:rPr>
          <w:rFonts w:ascii="Arial" w:cs="Arial" w:eastAsia="Arial" w:hAnsi="Arial"/>
          <w:sz w:val="14"/>
          <w:szCs w:val="14"/>
          <w:color w:val="auto"/>
        </w:rPr>
        <w:t>(</w:t>
      </w:r>
      <w:r>
        <w:rPr>
          <w:rFonts w:ascii="Arial" w:cs="Arial" w:eastAsia="Arial" w:hAnsi="Arial"/>
          <w:sz w:val="10"/>
          <w:szCs w:val="10"/>
          <w:color w:val="auto"/>
        </w:rPr>
        <w:t>*</w:t>
      </w:r>
      <w:r>
        <w:rPr>
          <w:rFonts w:ascii="Arial" w:cs="Arial" w:eastAsia="Arial" w:hAnsi="Arial"/>
          <w:sz w:val="14"/>
          <w:szCs w:val="14"/>
          <w:color w:val="auto"/>
        </w:rPr>
        <w:t xml:space="preserve">) </w:t>
      </w:r>
      <w:r>
        <w:rPr>
          <w:rFonts w:ascii="Arial" w:cs="Arial" w:eastAsia="Arial" w:hAnsi="Arial"/>
          <w:sz w:val="16"/>
          <w:szCs w:val="16"/>
          <w:color w:val="auto"/>
        </w:rPr>
        <w:t>As more specifically described in the Introductory Note to this Current Report on Form 8-K, immediately following the completion of the Intra-Group</w:t>
      </w:r>
      <w:r>
        <w:rPr>
          <w:rFonts w:ascii="Arial" w:cs="Arial" w:eastAsia="Arial" w:hAnsi="Arial"/>
          <w:sz w:val="14"/>
          <w:szCs w:val="14"/>
          <w:color w:val="auto"/>
        </w:rPr>
        <w:t xml:space="preserve"> </w:t>
      </w:r>
      <w:r>
        <w:rPr>
          <w:rFonts w:ascii="Arial" w:cs="Arial" w:eastAsia="Arial" w:hAnsi="Arial"/>
          <w:sz w:val="16"/>
          <w:szCs w:val="16"/>
          <w:color w:val="auto"/>
        </w:rPr>
        <w:t>Mergers (as defined herein), Freescale Semiconductor Holdings V, Inc. became the successor-in-interest to Freescale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Note</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December 7, 2015 (the “</w:t>
      </w:r>
      <w:r>
        <w:rPr>
          <w:rFonts w:ascii="Arial" w:cs="Arial" w:eastAsia="Arial" w:hAnsi="Arial"/>
          <w:sz w:val="18"/>
          <w:szCs w:val="18"/>
          <w:u w:val="single" w:color="auto"/>
          <w:color w:val="auto"/>
        </w:rPr>
        <w:t>Closing Date</w:t>
      </w:r>
      <w:r>
        <w:rPr>
          <w:rFonts w:ascii="Arial" w:cs="Arial" w:eastAsia="Arial" w:hAnsi="Arial"/>
          <w:sz w:val="18"/>
          <w:szCs w:val="18"/>
          <w:color w:val="auto"/>
        </w:rPr>
        <w:t>”), Freescale Semiconductor, Ltd. (the “</w:t>
      </w:r>
      <w:r>
        <w:rPr>
          <w:rFonts w:ascii="Arial" w:cs="Arial" w:eastAsia="Arial" w:hAnsi="Arial"/>
          <w:sz w:val="18"/>
          <w:szCs w:val="18"/>
          <w:u w:val="single" w:color="auto"/>
          <w:color w:val="auto"/>
        </w:rPr>
        <w:t>Company</w:t>
      </w:r>
      <w:r>
        <w:rPr>
          <w:rFonts w:ascii="Arial" w:cs="Arial" w:eastAsia="Arial" w:hAnsi="Arial"/>
          <w:sz w:val="18"/>
          <w:szCs w:val="18"/>
          <w:color w:val="auto"/>
        </w:rPr>
        <w:t>”), a Bermuda exempted limited liability company, completed its previously announced merger (the “</w:t>
      </w:r>
      <w:r>
        <w:rPr>
          <w:rFonts w:ascii="Arial" w:cs="Arial" w:eastAsia="Arial" w:hAnsi="Arial"/>
          <w:sz w:val="18"/>
          <w:szCs w:val="18"/>
          <w:u w:val="single" w:color="auto"/>
          <w:color w:val="auto"/>
        </w:rPr>
        <w:t>Merger</w:t>
      </w:r>
      <w:r>
        <w:rPr>
          <w:rFonts w:ascii="Arial" w:cs="Arial" w:eastAsia="Arial" w:hAnsi="Arial"/>
          <w:sz w:val="18"/>
          <w:szCs w:val="18"/>
          <w:color w:val="auto"/>
        </w:rPr>
        <w:t>”) with Nimble Acquisition Limited (“</w:t>
      </w:r>
      <w:r>
        <w:rPr>
          <w:rFonts w:ascii="Arial" w:cs="Arial" w:eastAsia="Arial" w:hAnsi="Arial"/>
          <w:sz w:val="18"/>
          <w:szCs w:val="18"/>
          <w:u w:val="single" w:color="auto"/>
          <w:color w:val="auto"/>
        </w:rPr>
        <w:t>Merger Sub</w:t>
      </w:r>
      <w:r>
        <w:rPr>
          <w:rFonts w:ascii="Arial" w:cs="Arial" w:eastAsia="Arial" w:hAnsi="Arial"/>
          <w:sz w:val="18"/>
          <w:szCs w:val="18"/>
          <w:color w:val="auto"/>
        </w:rPr>
        <w:t>”), a Bermuda exempted limited liability company and an indirect, wholly-owned subsidiary of NXP Semiconductors N.V. (“</w:t>
      </w:r>
      <w:r>
        <w:rPr>
          <w:rFonts w:ascii="Arial" w:cs="Arial" w:eastAsia="Arial" w:hAnsi="Arial"/>
          <w:sz w:val="18"/>
          <w:szCs w:val="18"/>
          <w:u w:val="single" w:color="auto"/>
          <w:color w:val="auto"/>
        </w:rPr>
        <w:t>NXP</w:t>
      </w:r>
      <w:r>
        <w:rPr>
          <w:rFonts w:ascii="Arial" w:cs="Arial" w:eastAsia="Arial" w:hAnsi="Arial"/>
          <w:sz w:val="18"/>
          <w:szCs w:val="18"/>
          <w:color w:val="auto"/>
        </w:rPr>
        <w:t>”), a Dutch public limited liability company, pursuant to the terms of the Agreement and Plan of Merger, dated as of March 1, 2015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NXP, Merger Sub and the Company. Immediately following the Merger, a series of mergers occurred among the Company and its wholly-owned subsidiaries, culminating with the Company merging with and into Freescale Semiconductor Holdings V, Inc. (“</w:t>
      </w:r>
      <w:r>
        <w:rPr>
          <w:rFonts w:ascii="Arial" w:cs="Arial" w:eastAsia="Arial" w:hAnsi="Arial"/>
          <w:sz w:val="18"/>
          <w:szCs w:val="18"/>
          <w:u w:val="single" w:color="auto"/>
          <w:color w:val="auto"/>
        </w:rPr>
        <w:t>Holdings V</w:t>
      </w:r>
      <w:r>
        <w:rPr>
          <w:rFonts w:ascii="Arial" w:cs="Arial" w:eastAsia="Arial" w:hAnsi="Arial"/>
          <w:sz w:val="18"/>
          <w:szCs w:val="18"/>
          <w:color w:val="auto"/>
        </w:rPr>
        <w:t>”), a Delaware corporation, (such mergers, collectively, the “</w:t>
      </w:r>
      <w:r>
        <w:rPr>
          <w:rFonts w:ascii="Arial" w:cs="Arial" w:eastAsia="Arial" w:hAnsi="Arial"/>
          <w:sz w:val="18"/>
          <w:szCs w:val="18"/>
          <w:u w:val="single" w:color="auto"/>
          <w:color w:val="auto"/>
        </w:rPr>
        <w:t>Intra-Group Mergers</w:t>
      </w:r>
      <w:r>
        <w:rPr>
          <w:rFonts w:ascii="Arial" w:cs="Arial" w:eastAsia="Arial" w:hAnsi="Arial"/>
          <w:sz w:val="18"/>
          <w:szCs w:val="18"/>
          <w:color w:val="auto"/>
        </w:rPr>
        <w:t>”) with Holdings V being the surviving corporation and successor-in-interest to the Company. As a result of the Merger and Intra-Group Mergers, Holdings V is now an indirect, wholly-owned subsidiary of NXP.</w:t>
      </w:r>
    </w:p>
    <w:p>
      <w:pPr>
        <w:spacing w:after="0" w:line="19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description of the Merger Agreement and related transactions (including, without limitation, the Merger) in this Current Report on Form 8-K does not purport to be complete and is subject, and qualified in its entirety by reference, to the full text of the Merger Agreement, which is attached as Exhibit 2.1 to the Company’s Current Report on Form 8-K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March 2, 2015 and incorporated herein by reference.</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Pursuant to the Merger Agreement, concurrently with the consummation of the Merger, the Company terminated, without payment and without any further right, obligation or liability thereunder (other than the exculpation and no recourse provisions therein), (i) the Shareholders’ Agreement, dated as of June 1, 2011, by and among Freescale Holdings L.P., the Company (f/k/a Freescale Semiconductor Holdings I, Ltd.), each of the Blackstone Investors (as defined therein), each of the Carlyle Investors (as defined therein), each of the Permira Investors (as defined therein) and each of the TPG Investors (as defined therein) (the “</w:t>
      </w:r>
      <w:r>
        <w:rPr>
          <w:rFonts w:ascii="Arial" w:cs="Arial" w:eastAsia="Arial" w:hAnsi="Arial"/>
          <w:sz w:val="16"/>
          <w:szCs w:val="16"/>
          <w:u w:val="single" w:color="auto"/>
          <w:color w:val="auto"/>
        </w:rPr>
        <w:t>Shareholders’ Agreement</w:t>
      </w:r>
      <w:r>
        <w:rPr>
          <w:rFonts w:ascii="Arial" w:cs="Arial" w:eastAsia="Arial" w:hAnsi="Arial"/>
          <w:sz w:val="16"/>
          <w:szCs w:val="16"/>
          <w:color w:val="auto"/>
        </w:rPr>
        <w:t>”), (ii) the Amended and Restated Registration Rights Agreement, dated as of June 1, 2011, by and among Freescale Holdings L.P., the Company (f/k/a Freescale Semiconductor Holdings I, Ltd.) and Certain Freescale Holdings L.P. Investors (as defined therein)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and (iii) the Amended and Restated Investors Agreement, dated as of June 1, 2011, by and among Freescale Holdings L.P., the Company (f/k/a Freescale Semiconductor Holdings I, Ltd.), Freescale Semiconductor Holdings II, Ltd., Freescale Semiconductor Holdings III, Ltd., Freescale Semiconductor Holdings IV, Ltd., Freescale Semiconductor Holdings V, Inc., Freescale, Certain Freescale Holdings L.P. Investors (as defined therein) and certain Stockholders of the Company (as defined therein) (the “</w:t>
      </w:r>
      <w:r>
        <w:rPr>
          <w:rFonts w:ascii="Arial" w:cs="Arial" w:eastAsia="Arial" w:hAnsi="Arial"/>
          <w:sz w:val="16"/>
          <w:szCs w:val="16"/>
          <w:u w:val="single" w:color="auto"/>
          <w:color w:val="auto"/>
        </w:rPr>
        <w:t>Investors Agreement</w:t>
      </w:r>
      <w:r>
        <w:rPr>
          <w:rFonts w:ascii="Arial" w:cs="Arial" w:eastAsia="Arial" w:hAnsi="Arial"/>
          <w:sz w:val="16"/>
          <w:szCs w:val="16"/>
          <w:color w:val="auto"/>
        </w:rPr>
        <w:t>”). The Shareholders’ Agreement, the Registration Rights Agreement and the Investors Agreement are attached as Exhibit 10.1, Exhibit 10.2 and Exhibit 10.3, respectively to the Company’s Current Report on Form 8-K filed with the SEC on June 3, 2011 and incorporated in this Item 1.02 by reference.</w:t>
      </w:r>
    </w:p>
    <w:p>
      <w:pPr>
        <w:spacing w:after="0" w:line="16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Pursuant to the terms of the New RCF Agreement and the New Secured Term Credit Agreement, immediately after giving effect to the Merger, the third amended and restated Freescale credit agreement, dated as of March 1, 2013 (as amended pursuant to the incremental amendment, dated as of September 11, 2013, the replacement revolving credit facility amendment and incremental amendment, dated as of February 10, 2014 and the loan modification agreement and refinancing term loan amendment dated as of March 4, 2014) (the “</w:t>
      </w:r>
      <w:r>
        <w:rPr>
          <w:rFonts w:ascii="Arial" w:cs="Arial" w:eastAsia="Arial" w:hAnsi="Arial"/>
          <w:sz w:val="16"/>
          <w:szCs w:val="16"/>
          <w:u w:val="single" w:color="auto"/>
          <w:color w:val="auto"/>
        </w:rPr>
        <w:t>Existing Freescale Credit Agreement</w:t>
      </w:r>
      <w:r>
        <w:rPr>
          <w:rFonts w:ascii="Arial" w:cs="Arial" w:eastAsia="Arial" w:hAnsi="Arial"/>
          <w:sz w:val="16"/>
          <w:szCs w:val="16"/>
          <w:color w:val="auto"/>
        </w:rPr>
        <w:t>”), by and among certain affiliates of the Company, the lenders from time to time party thereto and Citibank, N.A., as administrative agent and collateral agent will be terminated, all amounts outstanding thereunder will be repaid, all commitments in respect thereof will be terminated and all liens in respect thereof will be released.</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Further, the first lien intercreditor agreement, dated as of February 19, 2010 (as amended, amended and restated, supplemented or otherwise modified from time to time) (the “</w:t>
      </w:r>
      <w:r>
        <w:rPr>
          <w:rFonts w:ascii="Arial" w:cs="Arial" w:eastAsia="Arial" w:hAnsi="Arial"/>
          <w:sz w:val="18"/>
          <w:szCs w:val="18"/>
          <w:u w:val="single" w:color="auto"/>
          <w:color w:val="auto"/>
        </w:rPr>
        <w:t>Freescale Intercreditor Agreement</w:t>
      </w:r>
      <w:r>
        <w:rPr>
          <w:rFonts w:ascii="Arial" w:cs="Arial" w:eastAsia="Arial" w:hAnsi="Arial"/>
          <w:sz w:val="18"/>
          <w:szCs w:val="18"/>
          <w:color w:val="auto"/>
        </w:rPr>
        <w:t>”) by and among Citibank, N.A. as directing agent, Citibank N.A, as the senior credit agreement collateral agent and the senior credit agreement incremental collateral agent, Citibank N.A., as the initial additional first lien representative and each authorized representative from time to time party thereto, shall be terminated immediately after giving effect to the Merger. As of the Closing Date, Freescale and the Freescale Credit Guarantors that are party to the Freescale Intercreditor Agreement shall, pursuant to the Lien Grantor Supplement, become party to the Collateral Agency Agreement.</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December 7, 2015, NXP completed the acquisition of the Company. At the closing of the acquisition, Merger Sub merged with and into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with the Company continuing as the surviving corporation. At the effective time of the Merger, each common share of the Company,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$0.01 per share (each, a “</w:t>
      </w:r>
      <w:r>
        <w:rPr>
          <w:rFonts w:ascii="Arial" w:cs="Arial" w:eastAsia="Arial" w:hAnsi="Arial"/>
          <w:sz w:val="16"/>
          <w:szCs w:val="16"/>
          <w:u w:val="single" w:color="auto"/>
          <w:color w:val="auto"/>
        </w:rPr>
        <w:t>Common Share</w:t>
      </w:r>
      <w:r>
        <w:rPr>
          <w:rFonts w:ascii="Arial" w:cs="Arial" w:eastAsia="Arial" w:hAnsi="Arial"/>
          <w:sz w:val="16"/>
          <w:szCs w:val="16"/>
          <w:color w:val="auto"/>
        </w:rPr>
        <w:t>”) (other than Common Shares held by the Company in treasury or owned by NXP, Merger Sub or any other direct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indirect wholly-owned subsidiary of NXP, collectively the “</w:t>
      </w:r>
      <w:r>
        <w:rPr>
          <w:rFonts w:ascii="Arial" w:cs="Arial" w:eastAsia="Arial" w:hAnsi="Arial"/>
          <w:sz w:val="16"/>
          <w:szCs w:val="16"/>
          <w:u w:val="single" w:color="auto"/>
          <w:color w:val="auto"/>
        </w:rPr>
        <w:t>Excluded Shares</w:t>
      </w:r>
      <w:r>
        <w:rPr>
          <w:rFonts w:ascii="Arial" w:cs="Arial" w:eastAsia="Arial" w:hAnsi="Arial"/>
          <w:sz w:val="16"/>
          <w:szCs w:val="16"/>
          <w:color w:val="auto"/>
        </w:rPr>
        <w:t>”) was cancelled and converted into the right to receive $6.25 in cash, without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plus 0.3521 of a duly authorized, validly issued and fully paid ordinary share of NXP, par value EUR 0.20 per share (collectively, the “</w:t>
      </w:r>
      <w:r>
        <w:rPr>
          <w:rFonts w:ascii="Arial" w:cs="Arial" w:eastAsia="Arial" w:hAnsi="Arial"/>
          <w:sz w:val="17"/>
          <w:szCs w:val="17"/>
          <w:u w:val="single" w:color="auto"/>
          <w:color w:val="auto"/>
        </w:rPr>
        <w:t>Merger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 w:name="page3"/>
    <w:bookmarkEnd w:id="2"/>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joint press release issued by the Company and NXP on December 7, 2015 announcing the completion of the Merger is filed herewith as Exhibit 99.1 and is incorporated in this Item 2.01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the consummation of the Merger, the Company notified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on December 7, 2015 that, at the effective time of the Merger, each Common Share (other than the Excluded Shares) was cancelled and converted into the right to receive the Merger Consideration.</w:t>
      </w:r>
    </w:p>
    <w:p>
      <w:pPr>
        <w:spacing w:after="0" w:line="18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a result, it is expected that all Common Shares will be removed from trading on the NYSE following the close of trading on December 7, 2015. Accordingly, on December 7, 2015, the Company requested that the NYSE file with the SEC a Notification of Removal from Listing and Registration on Form 25 to effect the delisting of the Common Shares from the NYSE and the deregistration of the Common Shares under Section 12(b)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Additionally, the Company intends to file a Form 15 with the SEC requesting the termination of registration of the Common Shares under Section 12(g) of the Exchange Act and the suspension of reporting obligations under Sections 13 and 15(d) of the Exchange Act.</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information set forth in the Introductory Note and under Item 2.01 of this Current Report on Form 8-K is incorporated by reference in this Item 3.03.</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Upon the effective time of the Merger, each holder of Common Shares issued and outstanding immediately prior to the effective time of the Merger ceased to have any rights as a shareholder of the Company (other than the right of the holders of Common Shares (other than the Excluded Shares) to receive the Merger Consideration).</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information set forth in the Introductory Note and under Item 2.01 of this Current Report on Form 8-K is incorporated by reference in this Item 5.01.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result of the Merger, a change in control of the Company occurred, and the Company is now an indirect, wholly-owned subsidiary of NXP.</w:t>
      </w:r>
    </w:p>
    <w:p>
      <w:pPr>
        <w:spacing w:after="0" w:line="23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total amount of funds used by NXP to complete the Merger and related transactions and pay related fees and expenses was approximately $2.1 billion, which was funded through a combination of cash on hand and debt financing.</w:t>
      </w:r>
    </w:p>
    <w:p>
      <w:pPr>
        <w:spacing w:after="0" w:line="315" w:lineRule="exact"/>
        <w:rPr>
          <w:sz w:val="20"/>
          <w:szCs w:val="20"/>
          <w:color w:val="auto"/>
        </w:rPr>
      </w:pPr>
    </w:p>
    <w:p>
      <w:pPr>
        <w:ind w:left="1140" w:right="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Departure of Directors and Certain Officers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consummation of the Merger and as contemplated by the Merger Agreement (and not because of any disagreement with the Company on any matter relating to the Company’s operations, policies or practices), all of the directors of the Company resigned as directors of the Company at the effective time of the Merger. In accordance with the terms of the Merger Agreement, at the effective time of the Merger, the directors of Merger Sub became directors of the Company.</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Also in connection with the consummation of the Merger, the Company’s president and chief executive officer and senior vice president and general manager, analog and sensors (each a named executive officer) will be leaving the Company.</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At the effective time of the Merger, the memorandum of association of the Company, as in effect immediately prior to the Merger, was amended and restated to be in the form of the memorandum of association of Merger Sub, except that (i) the name of the Company as provided in such memorandum of association was amended to be “Freescale Semiconductor, Ltd.” and (ii) the authorized share capital of the Company as provided in such memorandum of association was amended to be the authorized share capital of the Company immediately prior to the effective time of the Merger (the “</w:t>
      </w:r>
      <w:r>
        <w:rPr>
          <w:rFonts w:ascii="Arial" w:cs="Arial" w:eastAsia="Arial" w:hAnsi="Arial"/>
          <w:sz w:val="16"/>
          <w:szCs w:val="16"/>
          <w:u w:val="single" w:color="auto"/>
          <w:color w:val="auto"/>
        </w:rPr>
        <w:t>Amended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Restated Memorandum of Association</w:t>
      </w:r>
      <w:r>
        <w:rPr>
          <w:rFonts w:ascii="Arial" w:cs="Arial" w:eastAsia="Arial" w:hAnsi="Arial"/>
          <w:sz w:val="16"/>
          <w:szCs w:val="16"/>
          <w:color w:val="auto"/>
        </w:rPr>
        <w:t>”). In addition, at the effective time of the Merger, the Company’s bye-laws, as in effect immediately prior to the Merger, were amended and restated to be in the form of the bye-laws of Merger Sub, except that the name of the Company as provided in such bye-laws was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to be “Freescale Semiconductor, Ltd.” (the “</w:t>
      </w:r>
      <w:r>
        <w:rPr>
          <w:rFonts w:ascii="Arial" w:cs="Arial" w:eastAsia="Arial" w:hAnsi="Arial"/>
          <w:sz w:val="18"/>
          <w:szCs w:val="18"/>
          <w:u w:val="single" w:color="auto"/>
          <w:color w:val="auto"/>
        </w:rPr>
        <w:t>Amended and Restated Bye-laws</w:t>
      </w:r>
      <w:r>
        <w:rPr>
          <w:rFonts w:ascii="Arial" w:cs="Arial" w:eastAsia="Arial" w:hAnsi="Arial"/>
          <w:sz w:val="18"/>
          <w:szCs w:val="18"/>
          <w:color w:val="auto"/>
        </w:rPr>
        <w:t>”). Copies of the Amended and Restated Memorandum of Association and the Amended and Restated Bye-laws are filed as Exhibits 3.1 and 3.2 to this Current Report on Form 8-K, respectively, and are incorporated by reference in this Item 5.03.</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Memorandum of Association of Freescale Semiconductor, Ltd.</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Bye-laws of Freescale Semiconductor, Ltd.</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Amended and Restated Freescale 2021 Indenture</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Amended and Restated Freescale 2022 Indenture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7, 2015</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FREESCALE SEMICONDUCTOR, LTD.</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B. Wuamett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Jennifer B. Wuamett</w:t>
      </w:r>
    </w:p>
    <w:p>
      <w:pPr>
        <w:spacing w:after="0" w:line="23" w:lineRule="exact"/>
        <w:rPr>
          <w:sz w:val="20"/>
          <w:szCs w:val="20"/>
          <w:color w:val="auto"/>
        </w:rPr>
      </w:pPr>
    </w:p>
    <w:p>
      <w:pPr>
        <w:jc w:val="both"/>
        <w:ind w:left="7440"/>
        <w:spacing w:after="0"/>
        <w:tabs>
          <w:tab w:leader="none" w:pos="802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  December 7, 2015</w:t>
      </w:r>
    </w:p>
    <w:p>
      <w:pPr>
        <w:sectPr>
          <w:pgSz w:w="11900" w:h="16838" w:orient="portrait"/>
          <w:cols w:equalWidth="0" w:num="1">
            <w:col w:w="11200"/>
          </w:cols>
          <w:pgMar w:left="2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5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5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0"/>
              </w:rPr>
              <w:t>Amended and Restated Memorandum of Association of Freescale Semiconductor, Ltd.</w:t>
            </w:r>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Amended and Restated Bye-laws of Freescale Semiconductor, Ltd.</w:t>
            </w:r>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Amended and Restated Freescale 2021 Indenture</w:t>
            </w:r>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Amended and Restated Freescale 2022 Indenture</w:t>
            </w:r>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Press Release dated December 7, 2015</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172085</wp:posOffset>
            </wp:positionV>
            <wp:extent cx="497205" cy="711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20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BERMUDA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ACT 1981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ALTERED MEMORANDUM OF ASSOCIATION OF 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7(1) and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Amended 29 September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Freescale Semiconductor,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referred to as the “Company”)</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liability of the members of the Company is limited to the amount (if any) for the time being unpaid on the shares respectively held by them.</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the undersigned, namely,</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2660" w:type="dxa"/>
            <w:vAlign w:val="bottom"/>
          </w:tcPr>
          <w:p>
            <w:pPr>
              <w:spacing w:after="0"/>
              <w:rPr>
                <w:sz w:val="20"/>
                <w:szCs w:val="20"/>
                <w:color w:val="auto"/>
              </w:rPr>
            </w:pPr>
            <w:r>
              <w:rPr>
                <w:rFonts w:ascii="Arial" w:cs="Arial" w:eastAsia="Arial" w:hAnsi="Arial"/>
                <w:sz w:val="14"/>
                <w:szCs w:val="14"/>
                <w:b w:val="1"/>
                <w:bCs w:val="1"/>
                <w:color w:val="auto"/>
              </w:rPr>
              <w:t>Name and Address</w:t>
            </w:r>
          </w:p>
        </w:tc>
        <w:tc>
          <w:tcPr>
            <w:tcW w:w="3040" w:type="dxa"/>
            <w:vAlign w:val="bottom"/>
          </w:tcPr>
          <w:p>
            <w:pPr>
              <w:ind w:left="1500"/>
              <w:spacing w:after="0"/>
              <w:rPr>
                <w:sz w:val="20"/>
                <w:szCs w:val="20"/>
                <w:color w:val="auto"/>
              </w:rPr>
            </w:pPr>
            <w:r>
              <w:rPr>
                <w:rFonts w:ascii="Arial" w:cs="Arial" w:eastAsia="Arial" w:hAnsi="Arial"/>
                <w:sz w:val="14"/>
                <w:szCs w:val="14"/>
                <w:b w:val="1"/>
                <w:bCs w:val="1"/>
                <w:color w:val="auto"/>
              </w:rPr>
              <w:t>Bermudian Status</w:t>
            </w:r>
          </w:p>
        </w:tc>
        <w:tc>
          <w:tcPr>
            <w:tcW w:w="1520" w:type="dxa"/>
            <w:vAlign w:val="bottom"/>
          </w:tcPr>
          <w:p>
            <w:pPr>
              <w:ind w:left="420"/>
              <w:spacing w:after="0"/>
              <w:rPr>
                <w:sz w:val="20"/>
                <w:szCs w:val="20"/>
                <w:color w:val="auto"/>
              </w:rPr>
            </w:pPr>
            <w:r>
              <w:rPr>
                <w:rFonts w:ascii="Arial" w:cs="Arial" w:eastAsia="Arial" w:hAnsi="Arial"/>
                <w:sz w:val="14"/>
                <w:szCs w:val="14"/>
                <w:b w:val="1"/>
                <w:bCs w:val="1"/>
                <w:color w:val="auto"/>
              </w:rPr>
              <w:t>Nationality</w:t>
            </w:r>
          </w:p>
        </w:tc>
        <w:tc>
          <w:tcPr>
            <w:tcW w:w="2360" w:type="dxa"/>
            <w:vAlign w:val="bottom"/>
          </w:tcPr>
          <w:p>
            <w:pPr>
              <w:jc w:val="right"/>
              <w:ind w:right="16"/>
              <w:spacing w:after="0"/>
              <w:rPr>
                <w:sz w:val="20"/>
                <w:szCs w:val="20"/>
                <w:color w:val="auto"/>
              </w:rPr>
            </w:pPr>
            <w:r>
              <w:rPr>
                <w:rFonts w:ascii="Arial" w:cs="Arial" w:eastAsia="Arial" w:hAnsi="Arial"/>
                <w:sz w:val="14"/>
                <w:szCs w:val="14"/>
                <w:b w:val="1"/>
                <w:bCs w:val="1"/>
                <w:color w:val="auto"/>
              </w:rPr>
              <w:t>Number of Shares Subscribed</w:t>
            </w:r>
          </w:p>
        </w:tc>
      </w:tr>
      <w:tr>
        <w:trPr>
          <w:trHeight w:val="93"/>
        </w:trPr>
        <w:tc>
          <w:tcPr>
            <w:tcW w:w="26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360" w:type="dxa"/>
            <w:vAlign w:val="bottom"/>
          </w:tcPr>
          <w:p>
            <w:pPr>
              <w:spacing w:after="0"/>
              <w:rPr>
                <w:sz w:val="8"/>
                <w:szCs w:val="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Ian Stone</w:t>
            </w:r>
          </w:p>
        </w:tc>
        <w:tc>
          <w:tcPr>
            <w:tcW w:w="30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No</w:t>
            </w:r>
          </w:p>
        </w:tc>
        <w:tc>
          <w:tcPr>
            <w:tcW w:w="1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British</w:t>
            </w:r>
          </w:p>
        </w:tc>
        <w:tc>
          <w:tcPr>
            <w:tcW w:w="2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Shane Reynolds</w:t>
            </w:r>
          </w:p>
        </w:tc>
        <w:tc>
          <w:tcPr>
            <w:tcW w:w="3040" w:type="dxa"/>
            <w:vAlign w:val="bottom"/>
          </w:tcPr>
          <w:p>
            <w:pPr>
              <w:ind w:left="1500"/>
              <w:spacing w:after="0"/>
              <w:rPr>
                <w:sz w:val="20"/>
                <w:szCs w:val="20"/>
                <w:color w:val="auto"/>
              </w:rPr>
            </w:pPr>
            <w:r>
              <w:rPr>
                <w:rFonts w:ascii="Arial" w:cs="Arial" w:eastAsia="Arial" w:hAnsi="Arial"/>
                <w:sz w:val="18"/>
                <w:szCs w:val="18"/>
                <w:color w:val="auto"/>
              </w:rPr>
              <w:t>No</w:t>
            </w:r>
          </w:p>
        </w:tc>
        <w:tc>
          <w:tcPr>
            <w:tcW w:w="1520" w:type="dxa"/>
            <w:vAlign w:val="bottom"/>
          </w:tcPr>
          <w:p>
            <w:pPr>
              <w:ind w:left="420"/>
              <w:spacing w:after="0"/>
              <w:rPr>
                <w:sz w:val="20"/>
                <w:szCs w:val="20"/>
                <w:color w:val="auto"/>
              </w:rPr>
            </w:pPr>
            <w:r>
              <w:rPr>
                <w:rFonts w:ascii="Arial" w:cs="Arial" w:eastAsia="Arial" w:hAnsi="Arial"/>
                <w:sz w:val="18"/>
                <w:szCs w:val="18"/>
                <w:color w:val="auto"/>
              </w:rPr>
              <w:t>Irish</w:t>
            </w:r>
          </w:p>
        </w:tc>
        <w:tc>
          <w:tcPr>
            <w:tcW w:w="2360" w:type="dxa"/>
            <w:vAlign w:val="bottom"/>
          </w:tcPr>
          <w:p>
            <w:pPr>
              <w:jc w:val="right"/>
              <w:ind w:right="16"/>
              <w:spacing w:after="0"/>
              <w:rPr>
                <w:sz w:val="20"/>
                <w:szCs w:val="20"/>
                <w:color w:val="auto"/>
              </w:rPr>
            </w:pPr>
            <w:r>
              <w:rPr>
                <w:rFonts w:ascii="Arial" w:cs="Arial" w:eastAsia="Arial" w:hAnsi="Arial"/>
                <w:sz w:val="18"/>
                <w:szCs w:val="18"/>
                <w:color w:val="auto"/>
              </w:rPr>
              <w:t>1</w:t>
            </w:r>
          </w:p>
        </w:tc>
      </w:tr>
    </w:tbl>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0125" cy="55753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Victoria Place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 Victoria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Hamilton, HM10, Bermuda</w:t>
      </w:r>
    </w:p>
    <w:p>
      <w:pPr>
        <w:spacing w:after="0" w:line="116" w:lineRule="exact"/>
        <w:rPr>
          <w:sz w:val="20"/>
          <w:szCs w:val="20"/>
          <w:color w:val="auto"/>
        </w:rPr>
      </w:pPr>
    </w:p>
    <w:p>
      <w:pPr>
        <w:jc w:val="both"/>
        <w:ind w:left="460" w:right="300"/>
        <w:spacing w:after="0" w:line="264" w:lineRule="auto"/>
        <w:rPr>
          <w:sz w:val="20"/>
          <w:szCs w:val="20"/>
          <w:color w:val="auto"/>
        </w:rPr>
      </w:pPr>
      <w:r>
        <w:rPr>
          <w:rFonts w:ascii="Arial" w:cs="Arial" w:eastAsia="Arial" w:hAnsi="Arial"/>
          <w:sz w:val="18"/>
          <w:szCs w:val="18"/>
          <w:color w:val="auto"/>
        </w:rPr>
        <w:t>do hereby respectively agree to take such number of shares of the Company as may be allotted to us respectively by the provisional directors of the Company, not exceeding the number of shares for which we have respectively subscribed, and to satisfy such calls as may be made by the directors, provisional directors or promoters of the Company in respect of the shares allotted to us respectively.</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NO. 2</w:t>
      </w:r>
    </w:p>
    <w:p>
      <w:pPr>
        <w:spacing w:after="0" w:line="16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to be an exempted Company as defined by the Companies Act 1981.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4.</w:t>
            </w:r>
          </w:p>
        </w:tc>
        <w:tc>
          <w:tcPr>
            <w:tcW w:w="8860" w:type="dxa"/>
            <w:vAlign w:val="bottom"/>
          </w:tcPr>
          <w:p>
            <w:pPr>
              <w:ind w:left="160"/>
              <w:spacing w:after="0"/>
              <w:rPr>
                <w:sz w:val="20"/>
                <w:szCs w:val="20"/>
                <w:color w:val="auto"/>
              </w:rPr>
            </w:pPr>
            <w:r>
              <w:rPr>
                <w:rFonts w:ascii="Arial" w:cs="Arial" w:eastAsia="Arial" w:hAnsi="Arial"/>
                <w:sz w:val="18"/>
                <w:szCs w:val="18"/>
                <w:color w:val="auto"/>
                <w:w w:val="93"/>
              </w:rPr>
              <w:t>The Company, with the consent of the Minister of Finance, has power to hold land situate in Bermuda not exceeding</w:t>
            </w:r>
          </w:p>
        </w:tc>
        <w:tc>
          <w:tcPr>
            <w:tcW w:w="1720" w:type="dxa"/>
            <w:vAlign w:val="bottom"/>
          </w:tcPr>
          <w:p>
            <w:pPr>
              <w:ind w:left="320"/>
              <w:spacing w:after="0"/>
              <w:rPr>
                <w:sz w:val="20"/>
                <w:szCs w:val="20"/>
                <w:color w:val="auto"/>
              </w:rPr>
            </w:pPr>
            <w:r>
              <w:rPr>
                <w:rFonts w:ascii="Arial" w:cs="Arial" w:eastAsia="Arial" w:hAnsi="Arial"/>
                <w:sz w:val="18"/>
                <w:szCs w:val="18"/>
                <w:color w:val="auto"/>
                <w:w w:val="93"/>
              </w:rPr>
              <w:t>in all, including the</w:t>
            </w:r>
          </w:p>
        </w:tc>
      </w:tr>
      <w:tr>
        <w:trPr>
          <w:trHeight w:val="230"/>
        </w:trPr>
        <w:tc>
          <w:tcPr>
            <w:tcW w:w="300" w:type="dxa"/>
            <w:vAlign w:val="bottom"/>
          </w:tcPr>
          <w:p>
            <w:pPr>
              <w:spacing w:after="0"/>
              <w:rPr>
                <w:sz w:val="20"/>
                <w:szCs w:val="20"/>
                <w:color w:val="auto"/>
              </w:rPr>
            </w:pPr>
          </w:p>
        </w:tc>
        <w:tc>
          <w:tcPr>
            <w:tcW w:w="8860" w:type="dxa"/>
            <w:vAlign w:val="bottom"/>
          </w:tcPr>
          <w:p>
            <w:pPr>
              <w:ind w:left="160"/>
              <w:spacing w:after="0"/>
              <w:rPr>
                <w:sz w:val="20"/>
                <w:szCs w:val="20"/>
                <w:color w:val="auto"/>
              </w:rPr>
            </w:pPr>
            <w:r>
              <w:rPr>
                <w:rFonts w:ascii="Arial" w:cs="Arial" w:eastAsia="Arial" w:hAnsi="Arial"/>
                <w:sz w:val="18"/>
                <w:szCs w:val="18"/>
                <w:color w:val="auto"/>
              </w:rPr>
              <w:t>following parcels:- N/A</w:t>
            </w:r>
          </w:p>
        </w:tc>
        <w:tc>
          <w:tcPr>
            <w:tcW w:w="1720" w:type="dxa"/>
            <w:vAlign w:val="bottom"/>
          </w:tcPr>
          <w:p>
            <w:pPr>
              <w:spacing w:after="0"/>
              <w:rPr>
                <w:sz w:val="20"/>
                <w:szCs w:val="20"/>
                <w:color w:val="auto"/>
              </w:rPr>
            </w:pPr>
          </w:p>
        </w:tc>
      </w:tr>
    </w:tbl>
    <w:p>
      <w:pPr>
        <w:spacing w:after="0" w:line="10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strike w:val="1"/>
        </w:rPr>
        <w:t>The authorised share capital of the Company is US$100 divided into 100 Shares of $1.00 each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authorised share capital of the Company is US$10,000,100 divided into 1,000,010,000 shares of US$0.01 each.</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objects for which the Company is formed and incorporated are unrestricted.</w:t>
      </w:r>
    </w:p>
    <w:p>
      <w:pPr>
        <w:spacing w:after="0" w:line="130"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paragraph 4, the Company may do all such things as are incidental or conducive to the attainment of its objects and shall have the capacity rights, powers and privileges of a natural person, and –</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pursuant to Section 42 of the Act, the Company shall have the power to issue preference shares which are at the option of the holder, liable to be redeemed;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pursuant to Section 42A of the Act, the Company shall have the power to purchase its own shares for cancellation;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pursuant to Section 42B of the Act, the Company shall have the power to acquire its own shares to be held as treasury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by each subscriber in the presence of at least one witness attesting the signature thereof:</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Stone</w:t>
            </w:r>
          </w:p>
        </w:tc>
        <w:tc>
          <w:tcPr>
            <w:tcW w:w="6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Hegarty</w:t>
            </w:r>
          </w:p>
        </w:tc>
      </w:tr>
      <w:tr>
        <w:trPr>
          <w:trHeight w:val="331"/>
        </w:trPr>
        <w:tc>
          <w:tcPr>
            <w:tcW w:w="5380" w:type="dxa"/>
            <w:vAlign w:val="bottom"/>
          </w:tcPr>
          <w:p>
            <w:pPr>
              <w:spacing w:after="0"/>
              <w:rPr>
                <w:sz w:val="20"/>
                <w:szCs w:val="20"/>
                <w:color w:val="auto"/>
              </w:rPr>
            </w:pPr>
            <w:r>
              <w:rPr>
                <w:rFonts w:ascii="Arial" w:cs="Arial" w:eastAsia="Arial" w:hAnsi="Arial"/>
                <w:sz w:val="18"/>
                <w:szCs w:val="18"/>
                <w:color w:val="auto"/>
              </w:rPr>
              <w:t>Ian Stone</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(Witness)</w:t>
            </w:r>
          </w:p>
        </w:tc>
      </w:tr>
      <w:tr>
        <w:trPr>
          <w:trHeight w:val="432"/>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Shane Reynolds</w:t>
            </w: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Hegarty</w:t>
            </w:r>
          </w:p>
        </w:tc>
      </w:tr>
      <w:tr>
        <w:trPr>
          <w:trHeight w:val="331"/>
        </w:trPr>
        <w:tc>
          <w:tcPr>
            <w:tcW w:w="5380" w:type="dxa"/>
            <w:vAlign w:val="bottom"/>
          </w:tcPr>
          <w:p>
            <w:pPr>
              <w:spacing w:after="0"/>
              <w:rPr>
                <w:sz w:val="20"/>
                <w:szCs w:val="20"/>
                <w:color w:val="auto"/>
              </w:rPr>
            </w:pPr>
            <w:r>
              <w:rPr>
                <w:rFonts w:ascii="Arial" w:cs="Arial" w:eastAsia="Arial" w:hAnsi="Arial"/>
                <w:sz w:val="18"/>
                <w:szCs w:val="18"/>
                <w:color w:val="auto"/>
              </w:rPr>
              <w:t>Shane Reynolds</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(Witness)</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Subscribed this 26</w:t>
            </w:r>
            <w:r>
              <w:rPr>
                <w:rFonts w:ascii="Arial" w:cs="Arial" w:eastAsia="Arial" w:hAnsi="Arial"/>
                <w:sz w:val="15"/>
                <w:szCs w:val="15"/>
                <w:color w:val="auto"/>
              </w:rPr>
              <w:t>th</w:t>
            </w:r>
            <w:r>
              <w:rPr>
                <w:rFonts w:ascii="Arial" w:cs="Arial" w:eastAsia="Arial" w:hAnsi="Arial"/>
                <w:sz w:val="18"/>
                <w:szCs w:val="18"/>
                <w:color w:val="auto"/>
              </w:rPr>
              <w:t xml:space="preserve"> day of February 2015</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Bye-laws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Freescale Semiconductor, Ltd.</w:t>
      </w:r>
    </w:p>
    <w:p>
      <w:pPr>
        <w:spacing w:after="0" w:line="2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I HEREBY CERTIFY </w:t>
      </w:r>
      <w:r>
        <w:rPr>
          <w:rFonts w:ascii="Arial" w:cs="Arial" w:eastAsia="Arial" w:hAnsi="Arial"/>
          <w:sz w:val="18"/>
          <w:szCs w:val="18"/>
          <w:color w:val="auto"/>
        </w:rPr>
        <w:t>that the following is a true copy of the Bye-laws of Freescale Semiconductor, Ltd. (the “Company”) as surviving company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between Nimble Acquisition Limited and Freescale Semiconductor, Ltd. effective on 7 December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and on behalf of</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WQ International Ltd.</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Acting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169545</wp:posOffset>
            </wp:positionV>
            <wp:extent cx="3430270" cy="471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3027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2487295" cy="403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87295" cy="40322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INDEX</w:t>
            </w:r>
          </w:p>
        </w:tc>
        <w:tc>
          <w:tcPr>
            <w:tcW w:w="770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03"/>
        </w:trPr>
        <w:tc>
          <w:tcPr>
            <w:tcW w:w="300" w:type="dxa"/>
            <w:vAlign w:val="bottom"/>
          </w:tcPr>
          <w:p>
            <w:pPr>
              <w:spacing w:after="0"/>
              <w:rPr>
                <w:sz w:val="24"/>
                <w:szCs w:val="24"/>
                <w:color w:val="auto"/>
              </w:rPr>
            </w:pPr>
          </w:p>
        </w:tc>
        <w:tc>
          <w:tcPr>
            <w:tcW w:w="788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INTERPRETATION</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3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300" w:type="dxa"/>
            <w:vAlign w:val="bottom"/>
          </w:tcPr>
          <w:p>
            <w:pPr>
              <w:spacing w:after="0"/>
              <w:rPr>
                <w:sz w:val="19"/>
                <w:szCs w:val="19"/>
                <w:color w:val="auto"/>
              </w:rPr>
            </w:pPr>
          </w:p>
        </w:tc>
        <w:tc>
          <w:tcPr>
            <w:tcW w:w="7880" w:type="dxa"/>
            <w:vAlign w:val="bottom"/>
            <w:gridSpan w:val="2"/>
          </w:tcPr>
          <w:p>
            <w:pPr>
              <w:ind w:left="60"/>
              <w:spacing w:after="0"/>
              <w:rPr>
                <w:sz w:val="20"/>
                <w:szCs w:val="20"/>
                <w:color w:val="auto"/>
              </w:rPr>
            </w:pPr>
            <w:r>
              <w:rPr>
                <w:rFonts w:ascii="Arial" w:cs="Arial" w:eastAsia="Arial" w:hAnsi="Arial"/>
                <w:sz w:val="18"/>
                <w:szCs w:val="18"/>
                <w:b w:val="1"/>
                <w:bCs w:val="1"/>
                <w:color w:val="auto"/>
              </w:rPr>
              <w:t>SHARE CAPITAL AND SHARE RIGHTS</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Rights of shares</w:t>
            </w:r>
          </w:p>
        </w:tc>
        <w:tc>
          <w:tcPr>
            <w:tcW w:w="3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Modification of share rights</w:t>
            </w:r>
          </w:p>
        </w:tc>
        <w:tc>
          <w:tcPr>
            <w:tcW w:w="3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Increase, reduction or alteration of Capital</w:t>
            </w:r>
          </w:p>
        </w:tc>
        <w:tc>
          <w:tcPr>
            <w:tcW w:w="3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Power to issue shares</w:t>
            </w:r>
          </w:p>
        </w:tc>
        <w:tc>
          <w:tcPr>
            <w:tcW w:w="3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Registered holder of shares</w:t>
            </w:r>
          </w:p>
        </w:tc>
        <w:tc>
          <w:tcPr>
            <w:tcW w:w="3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Register of Members</w:t>
            </w:r>
          </w:p>
        </w:tc>
        <w:tc>
          <w:tcPr>
            <w:tcW w:w="3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Share certificates</w:t>
            </w:r>
          </w:p>
        </w:tc>
        <w:tc>
          <w:tcPr>
            <w:tcW w:w="3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Uncertificated Shares</w:t>
            </w:r>
          </w:p>
        </w:tc>
        <w:tc>
          <w:tcPr>
            <w:tcW w:w="3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Lien on shares</w:t>
            </w:r>
          </w:p>
        </w:tc>
        <w:tc>
          <w:tcPr>
            <w:tcW w:w="3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Call on shares</w:t>
            </w:r>
          </w:p>
        </w:tc>
        <w:tc>
          <w:tcPr>
            <w:tcW w:w="3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2"/>
        </w:trPr>
        <w:tc>
          <w:tcPr>
            <w:tcW w:w="300" w:type="dxa"/>
            <w:vAlign w:val="bottom"/>
          </w:tcPr>
          <w:p>
            <w:pPr>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Forfeiture of shares</w:t>
            </w:r>
          </w:p>
        </w:tc>
        <w:tc>
          <w:tcPr>
            <w:tcW w:w="3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0"/>
        </w:trPr>
        <w:tc>
          <w:tcPr>
            <w:tcW w:w="300" w:type="dxa"/>
            <w:vAlign w:val="bottom"/>
          </w:tcPr>
          <w:p>
            <w:pPr>
              <w:spacing w:after="0"/>
              <w:rPr>
                <w:sz w:val="19"/>
                <w:szCs w:val="19"/>
                <w:color w:val="auto"/>
              </w:rPr>
            </w:pPr>
          </w:p>
        </w:tc>
        <w:tc>
          <w:tcPr>
            <w:tcW w:w="788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TRANSFER OF SHARES</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Transfer of certificated shares</w:t>
            </w:r>
          </w:p>
        </w:tc>
        <w:tc>
          <w:tcPr>
            <w:tcW w:w="3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Transfer of uncertificated shares</w:t>
            </w:r>
          </w:p>
        </w:tc>
        <w:tc>
          <w:tcPr>
            <w:tcW w:w="3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Instrument of transfer</w:t>
            </w:r>
          </w:p>
        </w:tc>
        <w:tc>
          <w:tcPr>
            <w:tcW w:w="3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Restrictions on transfer</w:t>
            </w:r>
          </w:p>
        </w:tc>
        <w:tc>
          <w:tcPr>
            <w:tcW w:w="3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300" w:type="dxa"/>
            <w:vAlign w:val="bottom"/>
          </w:tcPr>
          <w:p>
            <w:pPr>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Transfers by joint holders</w:t>
            </w:r>
          </w:p>
        </w:tc>
        <w:tc>
          <w:tcPr>
            <w:tcW w:w="3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0"/>
        </w:trPr>
        <w:tc>
          <w:tcPr>
            <w:tcW w:w="300" w:type="dxa"/>
            <w:vAlign w:val="bottom"/>
          </w:tcPr>
          <w:p>
            <w:pPr>
              <w:spacing w:after="0"/>
              <w:rPr>
                <w:sz w:val="19"/>
                <w:szCs w:val="19"/>
                <w:color w:val="auto"/>
              </w:rPr>
            </w:pPr>
          </w:p>
        </w:tc>
        <w:tc>
          <w:tcPr>
            <w:tcW w:w="788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TRANSMISSION OF SHARES</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Representative of deceased Member</w:t>
            </w:r>
          </w:p>
        </w:tc>
        <w:tc>
          <w:tcPr>
            <w:tcW w:w="3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300" w:type="dxa"/>
            <w:vAlign w:val="bottom"/>
          </w:tcPr>
          <w:p>
            <w:pPr>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Registration on death or bankruptcy</w:t>
            </w:r>
          </w:p>
        </w:tc>
        <w:tc>
          <w:tcPr>
            <w:tcW w:w="3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0"/>
        </w:trPr>
        <w:tc>
          <w:tcPr>
            <w:tcW w:w="300" w:type="dxa"/>
            <w:vAlign w:val="bottom"/>
          </w:tcPr>
          <w:p>
            <w:pPr>
              <w:spacing w:after="0"/>
              <w:rPr>
                <w:sz w:val="19"/>
                <w:szCs w:val="19"/>
                <w:color w:val="auto"/>
              </w:rPr>
            </w:pPr>
          </w:p>
        </w:tc>
        <w:tc>
          <w:tcPr>
            <w:tcW w:w="7880" w:type="dxa"/>
            <w:vAlign w:val="bottom"/>
            <w:gridSpan w:val="2"/>
          </w:tcPr>
          <w:p>
            <w:pPr>
              <w:ind w:left="60"/>
              <w:spacing w:after="0"/>
              <w:rPr>
                <w:sz w:val="20"/>
                <w:szCs w:val="20"/>
                <w:color w:val="auto"/>
              </w:rPr>
            </w:pPr>
            <w:r>
              <w:rPr>
                <w:rFonts w:ascii="Arial" w:cs="Arial" w:eastAsia="Arial" w:hAnsi="Arial"/>
                <w:sz w:val="18"/>
                <w:szCs w:val="18"/>
                <w:b w:val="1"/>
                <w:bCs w:val="1"/>
                <w:color w:val="auto"/>
              </w:rPr>
              <w:t>GENERAL MEETINGS</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Annual general meetings</w:t>
            </w:r>
          </w:p>
        </w:tc>
        <w:tc>
          <w:tcPr>
            <w:tcW w:w="3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Special general meetings/requisition of Members</w:t>
            </w:r>
          </w:p>
        </w:tc>
        <w:tc>
          <w:tcPr>
            <w:tcW w:w="3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Short notice</w:t>
            </w:r>
          </w:p>
        </w:tc>
        <w:tc>
          <w:tcPr>
            <w:tcW w:w="3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Accidental omission of notice of general meeting</w:t>
            </w:r>
          </w:p>
        </w:tc>
        <w:tc>
          <w:tcPr>
            <w:tcW w:w="3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Quorum for general meetings</w:t>
            </w:r>
          </w:p>
        </w:tc>
        <w:tc>
          <w:tcPr>
            <w:tcW w:w="3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Adjournment of meetings</w:t>
            </w:r>
          </w:p>
        </w:tc>
        <w:tc>
          <w:tcPr>
            <w:tcW w:w="3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Telephone etc. meetings</w:t>
            </w:r>
          </w:p>
        </w:tc>
        <w:tc>
          <w:tcPr>
            <w:tcW w:w="3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Attendance of Directors</w:t>
            </w:r>
          </w:p>
        </w:tc>
        <w:tc>
          <w:tcPr>
            <w:tcW w:w="3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Chairman of meetings</w:t>
            </w:r>
          </w:p>
        </w:tc>
        <w:tc>
          <w:tcPr>
            <w:tcW w:w="3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Voting at meetings</w:t>
            </w:r>
          </w:p>
        </w:tc>
        <w:tc>
          <w:tcPr>
            <w:tcW w:w="3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Voting on show of hands</w:t>
            </w:r>
          </w:p>
        </w:tc>
        <w:tc>
          <w:tcPr>
            <w:tcW w:w="3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Chairman’s decision</w:t>
            </w:r>
          </w:p>
        </w:tc>
        <w:tc>
          <w:tcPr>
            <w:tcW w:w="3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Demand for a poll</w:t>
            </w:r>
          </w:p>
        </w:tc>
        <w:tc>
          <w:tcPr>
            <w:tcW w:w="3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Equality of votes</w:t>
            </w:r>
          </w:p>
        </w:tc>
        <w:tc>
          <w:tcPr>
            <w:tcW w:w="3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Seniority of joint holders voting</w:t>
            </w:r>
          </w:p>
        </w:tc>
        <w:tc>
          <w:tcPr>
            <w:tcW w:w="3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Objections at meetings</w:t>
            </w:r>
          </w:p>
        </w:tc>
        <w:tc>
          <w:tcPr>
            <w:tcW w:w="3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Proxies and corporate representatives</w:t>
            </w:r>
          </w:p>
        </w:tc>
        <w:tc>
          <w:tcPr>
            <w:tcW w:w="3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300" w:type="dxa"/>
            <w:vAlign w:val="bottom"/>
          </w:tcPr>
          <w:p>
            <w:pPr>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Written Resolutions</w:t>
            </w:r>
          </w:p>
        </w:tc>
        <w:tc>
          <w:tcPr>
            <w:tcW w:w="3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0"/>
        </w:trPr>
        <w:tc>
          <w:tcPr>
            <w:tcW w:w="300" w:type="dxa"/>
            <w:vAlign w:val="bottom"/>
          </w:tcPr>
          <w:p>
            <w:pPr>
              <w:spacing w:after="0"/>
              <w:rPr>
                <w:sz w:val="19"/>
                <w:szCs w:val="19"/>
                <w:color w:val="auto"/>
              </w:rPr>
            </w:pPr>
          </w:p>
        </w:tc>
        <w:tc>
          <w:tcPr>
            <w:tcW w:w="7880" w:type="dxa"/>
            <w:vAlign w:val="bottom"/>
            <w:gridSpan w:val="2"/>
          </w:tcPr>
          <w:p>
            <w:pPr>
              <w:ind w:left="60"/>
              <w:spacing w:after="0"/>
              <w:rPr>
                <w:sz w:val="20"/>
                <w:szCs w:val="20"/>
                <w:color w:val="auto"/>
              </w:rPr>
            </w:pPr>
            <w:r>
              <w:rPr>
                <w:rFonts w:ascii="Arial" w:cs="Arial" w:eastAsia="Arial" w:hAnsi="Arial"/>
                <w:sz w:val="18"/>
                <w:szCs w:val="18"/>
                <w:b w:val="1"/>
                <w:bCs w:val="1"/>
                <w:color w:val="auto"/>
              </w:rPr>
              <w:t>BOARD OF DIRECTORS</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Appointment and removal of Directors</w:t>
            </w:r>
          </w:p>
        </w:tc>
        <w:tc>
          <w:tcPr>
            <w:tcW w:w="3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Resignation and Disqualification of Directors</w:t>
            </w:r>
          </w:p>
        </w:tc>
        <w:tc>
          <w:tcPr>
            <w:tcW w:w="3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Alternate Directors</w:t>
            </w:r>
          </w:p>
        </w:tc>
        <w:tc>
          <w:tcPr>
            <w:tcW w:w="3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Register of Directors and Officers</w:t>
            </w:r>
          </w:p>
        </w:tc>
        <w:tc>
          <w:tcPr>
            <w:tcW w:w="3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Directors’ fees and additional remuneration and expenses</w:t>
            </w:r>
          </w:p>
        </w:tc>
        <w:tc>
          <w:tcPr>
            <w:tcW w:w="3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30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Directors’ interests</w:t>
            </w:r>
          </w:p>
        </w:tc>
        <w:tc>
          <w:tcPr>
            <w:tcW w:w="3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0"/>
        </w:trPr>
        <w:tc>
          <w:tcPr>
            <w:tcW w:w="300" w:type="dxa"/>
            <w:vAlign w:val="bottom"/>
          </w:tcPr>
          <w:p>
            <w:pPr>
              <w:spacing w:after="0"/>
              <w:rPr>
                <w:sz w:val="19"/>
                <w:szCs w:val="19"/>
                <w:color w:val="auto"/>
              </w:rPr>
            </w:pPr>
          </w:p>
        </w:tc>
        <w:tc>
          <w:tcPr>
            <w:tcW w:w="7880" w:type="dxa"/>
            <w:vAlign w:val="bottom"/>
            <w:gridSpan w:val="2"/>
          </w:tcPr>
          <w:p>
            <w:pPr>
              <w:ind w:left="60"/>
              <w:spacing w:after="0"/>
              <w:rPr>
                <w:sz w:val="20"/>
                <w:szCs w:val="20"/>
                <w:color w:val="auto"/>
              </w:rPr>
            </w:pPr>
            <w:r>
              <w:rPr>
                <w:rFonts w:ascii="Arial" w:cs="Arial" w:eastAsia="Arial" w:hAnsi="Arial"/>
                <w:sz w:val="18"/>
                <w:szCs w:val="18"/>
                <w:b w:val="1"/>
                <w:bCs w:val="1"/>
                <w:color w:val="auto"/>
              </w:rPr>
              <w:t>POWERS AND DUTIES OF THE BOARD</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Management of the Company</w:t>
            </w:r>
          </w:p>
        </w:tc>
        <w:tc>
          <w:tcPr>
            <w:tcW w:w="3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Power to borrow and charge property</w:t>
            </w:r>
          </w:p>
        </w:tc>
        <w:tc>
          <w:tcPr>
            <w:tcW w:w="3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Power to provide benefits</w:t>
            </w:r>
          </w:p>
        </w:tc>
        <w:tc>
          <w:tcPr>
            <w:tcW w:w="3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Power to appoint managing director or chief executive officer</w:t>
            </w:r>
          </w:p>
        </w:tc>
        <w:tc>
          <w:tcPr>
            <w:tcW w:w="3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Power to appoint manager and to appoint and dismiss employees</w:t>
            </w:r>
          </w:p>
        </w:tc>
        <w:tc>
          <w:tcPr>
            <w:tcW w:w="3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Power to authorise specific actions and appoint attorney</w:t>
            </w:r>
          </w:p>
        </w:tc>
        <w:tc>
          <w:tcPr>
            <w:tcW w:w="31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6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50.</w:t>
            </w:r>
          </w:p>
        </w:tc>
        <w:tc>
          <w:tcPr>
            <w:tcW w:w="7340" w:type="dxa"/>
            <w:vAlign w:val="bottom"/>
          </w:tcPr>
          <w:p>
            <w:pPr>
              <w:ind w:left="240"/>
              <w:spacing w:after="0"/>
              <w:rPr>
                <w:sz w:val="20"/>
                <w:szCs w:val="20"/>
                <w:color w:val="auto"/>
              </w:rPr>
            </w:pPr>
            <w:r>
              <w:rPr>
                <w:rFonts w:ascii="Arial" w:cs="Arial" w:eastAsia="Arial" w:hAnsi="Arial"/>
                <w:sz w:val="18"/>
                <w:szCs w:val="18"/>
                <w:color w:val="auto"/>
              </w:rPr>
              <w:t>Power to delegate</w:t>
            </w:r>
          </w:p>
        </w:tc>
        <w:tc>
          <w:tcPr>
            <w:tcW w:w="3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51.</w:t>
            </w:r>
          </w:p>
        </w:tc>
        <w:tc>
          <w:tcPr>
            <w:tcW w:w="7340" w:type="dxa"/>
            <w:vAlign w:val="bottom"/>
          </w:tcPr>
          <w:p>
            <w:pPr>
              <w:ind w:left="240"/>
              <w:spacing w:after="0"/>
              <w:rPr>
                <w:sz w:val="20"/>
                <w:szCs w:val="20"/>
                <w:color w:val="auto"/>
              </w:rPr>
            </w:pPr>
            <w:r>
              <w:rPr>
                <w:rFonts w:ascii="Arial" w:cs="Arial" w:eastAsia="Arial" w:hAnsi="Arial"/>
                <w:sz w:val="18"/>
                <w:szCs w:val="18"/>
                <w:color w:val="auto"/>
              </w:rPr>
              <w:t>Exercise of power to discontinue the Company</w:t>
            </w:r>
          </w:p>
        </w:tc>
        <w:tc>
          <w:tcPr>
            <w:tcW w:w="3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52.</w:t>
            </w:r>
          </w:p>
        </w:tc>
        <w:tc>
          <w:tcPr>
            <w:tcW w:w="7340" w:type="dxa"/>
            <w:vAlign w:val="bottom"/>
          </w:tcPr>
          <w:p>
            <w:pPr>
              <w:ind w:left="240"/>
              <w:spacing w:after="0"/>
              <w:rPr>
                <w:sz w:val="20"/>
                <w:szCs w:val="20"/>
                <w:color w:val="auto"/>
              </w:rPr>
            </w:pPr>
            <w:r>
              <w:rPr>
                <w:rFonts w:ascii="Arial" w:cs="Arial" w:eastAsia="Arial" w:hAnsi="Arial"/>
                <w:sz w:val="18"/>
                <w:szCs w:val="18"/>
                <w:color w:val="auto"/>
              </w:rPr>
              <w:t>Meetings of the Board</w:t>
            </w:r>
          </w:p>
        </w:tc>
        <w:tc>
          <w:tcPr>
            <w:tcW w:w="3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53.</w:t>
            </w:r>
          </w:p>
        </w:tc>
        <w:tc>
          <w:tcPr>
            <w:tcW w:w="7340" w:type="dxa"/>
            <w:vAlign w:val="bottom"/>
          </w:tcPr>
          <w:p>
            <w:pPr>
              <w:ind w:left="240"/>
              <w:spacing w:after="0"/>
              <w:rPr>
                <w:sz w:val="20"/>
                <w:szCs w:val="20"/>
                <w:color w:val="auto"/>
              </w:rPr>
            </w:pPr>
            <w:r>
              <w:rPr>
                <w:rFonts w:ascii="Arial" w:cs="Arial" w:eastAsia="Arial" w:hAnsi="Arial"/>
                <w:sz w:val="18"/>
                <w:szCs w:val="18"/>
                <w:color w:val="auto"/>
              </w:rPr>
              <w:t>Notice of meetings of the Board</w:t>
            </w:r>
          </w:p>
        </w:tc>
        <w:tc>
          <w:tcPr>
            <w:tcW w:w="3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54.</w:t>
            </w:r>
          </w:p>
        </w:tc>
        <w:tc>
          <w:tcPr>
            <w:tcW w:w="7340" w:type="dxa"/>
            <w:vAlign w:val="bottom"/>
          </w:tcPr>
          <w:p>
            <w:pPr>
              <w:ind w:left="240"/>
              <w:spacing w:after="0"/>
              <w:rPr>
                <w:sz w:val="20"/>
                <w:szCs w:val="20"/>
                <w:color w:val="auto"/>
              </w:rPr>
            </w:pPr>
            <w:r>
              <w:rPr>
                <w:rFonts w:ascii="Arial" w:cs="Arial" w:eastAsia="Arial" w:hAnsi="Arial"/>
                <w:sz w:val="18"/>
                <w:szCs w:val="18"/>
                <w:color w:val="auto"/>
              </w:rPr>
              <w:t>Quorum for Board meetings</w:t>
            </w:r>
          </w:p>
        </w:tc>
        <w:tc>
          <w:tcPr>
            <w:tcW w:w="3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55.</w:t>
            </w:r>
          </w:p>
        </w:tc>
        <w:tc>
          <w:tcPr>
            <w:tcW w:w="7340" w:type="dxa"/>
            <w:vAlign w:val="bottom"/>
          </w:tcPr>
          <w:p>
            <w:pPr>
              <w:ind w:left="240"/>
              <w:spacing w:after="0"/>
              <w:rPr>
                <w:sz w:val="20"/>
                <w:szCs w:val="20"/>
                <w:color w:val="auto"/>
              </w:rPr>
            </w:pPr>
            <w:r>
              <w:rPr>
                <w:rFonts w:ascii="Arial" w:cs="Arial" w:eastAsia="Arial" w:hAnsi="Arial"/>
                <w:sz w:val="18"/>
                <w:szCs w:val="18"/>
                <w:color w:val="auto"/>
              </w:rPr>
              <w:t>Chairman of meetings</w:t>
            </w:r>
          </w:p>
        </w:tc>
        <w:tc>
          <w:tcPr>
            <w:tcW w:w="3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56.</w:t>
            </w:r>
          </w:p>
        </w:tc>
        <w:tc>
          <w:tcPr>
            <w:tcW w:w="7340" w:type="dxa"/>
            <w:vAlign w:val="bottom"/>
          </w:tcPr>
          <w:p>
            <w:pPr>
              <w:ind w:left="240"/>
              <w:spacing w:after="0"/>
              <w:rPr>
                <w:sz w:val="20"/>
                <w:szCs w:val="20"/>
                <w:color w:val="auto"/>
              </w:rPr>
            </w:pPr>
            <w:r>
              <w:rPr>
                <w:rFonts w:ascii="Arial" w:cs="Arial" w:eastAsia="Arial" w:hAnsi="Arial"/>
                <w:sz w:val="18"/>
                <w:szCs w:val="18"/>
                <w:color w:val="auto"/>
              </w:rPr>
              <w:t>Meetings of committees appointed by the Board</w:t>
            </w:r>
          </w:p>
        </w:tc>
        <w:tc>
          <w:tcPr>
            <w:tcW w:w="3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57.</w:t>
            </w:r>
          </w:p>
        </w:tc>
        <w:tc>
          <w:tcPr>
            <w:tcW w:w="7340" w:type="dxa"/>
            <w:vAlign w:val="bottom"/>
          </w:tcPr>
          <w:p>
            <w:pPr>
              <w:ind w:left="240"/>
              <w:spacing w:after="0"/>
              <w:rPr>
                <w:sz w:val="20"/>
                <w:szCs w:val="20"/>
                <w:color w:val="auto"/>
              </w:rPr>
            </w:pPr>
            <w:r>
              <w:rPr>
                <w:rFonts w:ascii="Arial" w:cs="Arial" w:eastAsia="Arial" w:hAnsi="Arial"/>
                <w:sz w:val="18"/>
                <w:szCs w:val="18"/>
                <w:color w:val="auto"/>
              </w:rPr>
              <w:t>Written resolutions</w:t>
            </w:r>
          </w:p>
        </w:tc>
        <w:tc>
          <w:tcPr>
            <w:tcW w:w="3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300" w:type="dxa"/>
            <w:vAlign w:val="bottom"/>
          </w:tcPr>
          <w:p>
            <w:pPr>
              <w:jc w:val="right"/>
              <w:spacing w:after="0"/>
              <w:rPr>
                <w:sz w:val="20"/>
                <w:szCs w:val="20"/>
                <w:color w:val="auto"/>
              </w:rPr>
            </w:pPr>
            <w:r>
              <w:rPr>
                <w:rFonts w:ascii="Arial" w:cs="Arial" w:eastAsia="Arial" w:hAnsi="Arial"/>
                <w:sz w:val="18"/>
                <w:szCs w:val="18"/>
                <w:color w:val="auto"/>
                <w:w w:val="87"/>
              </w:rPr>
              <w:t>58.</w:t>
            </w:r>
          </w:p>
        </w:tc>
        <w:tc>
          <w:tcPr>
            <w:tcW w:w="7340" w:type="dxa"/>
            <w:vAlign w:val="bottom"/>
          </w:tcPr>
          <w:p>
            <w:pPr>
              <w:ind w:left="240"/>
              <w:spacing w:after="0"/>
              <w:rPr>
                <w:sz w:val="20"/>
                <w:szCs w:val="20"/>
                <w:color w:val="auto"/>
              </w:rPr>
            </w:pPr>
            <w:r>
              <w:rPr>
                <w:rFonts w:ascii="Arial" w:cs="Arial" w:eastAsia="Arial" w:hAnsi="Arial"/>
                <w:sz w:val="18"/>
                <w:szCs w:val="18"/>
                <w:color w:val="auto"/>
              </w:rPr>
              <w:t>Acts valid notwithstanding defect in appointment</w:t>
            </w:r>
          </w:p>
        </w:tc>
        <w:tc>
          <w:tcPr>
            <w:tcW w:w="3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0"/>
        </w:trPr>
        <w:tc>
          <w:tcPr>
            <w:tcW w:w="3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b w:val="1"/>
                <w:bCs w:val="1"/>
                <w:color w:val="auto"/>
              </w:rPr>
              <w:t>OFFICERS OF THE COMPANY</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59.</w:t>
            </w:r>
          </w:p>
        </w:tc>
        <w:tc>
          <w:tcPr>
            <w:tcW w:w="7340" w:type="dxa"/>
            <w:vAlign w:val="bottom"/>
          </w:tcPr>
          <w:p>
            <w:pPr>
              <w:ind w:left="240"/>
              <w:spacing w:after="0"/>
              <w:rPr>
                <w:sz w:val="20"/>
                <w:szCs w:val="20"/>
                <w:color w:val="auto"/>
              </w:rPr>
            </w:pPr>
            <w:r>
              <w:rPr>
                <w:rFonts w:ascii="Arial" w:cs="Arial" w:eastAsia="Arial" w:hAnsi="Arial"/>
                <w:sz w:val="18"/>
                <w:szCs w:val="18"/>
                <w:color w:val="auto"/>
              </w:rPr>
              <w:t>Appointment of Officers of the Company</w:t>
            </w:r>
          </w:p>
        </w:tc>
        <w:tc>
          <w:tcPr>
            <w:tcW w:w="3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60.</w:t>
            </w:r>
          </w:p>
        </w:tc>
        <w:tc>
          <w:tcPr>
            <w:tcW w:w="7340" w:type="dxa"/>
            <w:vAlign w:val="bottom"/>
          </w:tcPr>
          <w:p>
            <w:pPr>
              <w:ind w:left="240"/>
              <w:spacing w:after="0"/>
              <w:rPr>
                <w:sz w:val="20"/>
                <w:szCs w:val="20"/>
                <w:color w:val="auto"/>
              </w:rPr>
            </w:pPr>
            <w:r>
              <w:rPr>
                <w:rFonts w:ascii="Arial" w:cs="Arial" w:eastAsia="Arial" w:hAnsi="Arial"/>
                <w:sz w:val="18"/>
                <w:szCs w:val="18"/>
                <w:color w:val="auto"/>
              </w:rPr>
              <w:t>Appointment of Secretary</w:t>
            </w:r>
          </w:p>
        </w:tc>
        <w:tc>
          <w:tcPr>
            <w:tcW w:w="3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61.</w:t>
            </w:r>
          </w:p>
        </w:tc>
        <w:tc>
          <w:tcPr>
            <w:tcW w:w="7340" w:type="dxa"/>
            <w:vAlign w:val="bottom"/>
          </w:tcPr>
          <w:p>
            <w:pPr>
              <w:ind w:left="240"/>
              <w:spacing w:after="0"/>
              <w:rPr>
                <w:sz w:val="20"/>
                <w:szCs w:val="20"/>
                <w:color w:val="auto"/>
              </w:rPr>
            </w:pPr>
            <w:r>
              <w:rPr>
                <w:rFonts w:ascii="Arial" w:cs="Arial" w:eastAsia="Arial" w:hAnsi="Arial"/>
                <w:sz w:val="18"/>
                <w:szCs w:val="18"/>
                <w:color w:val="auto"/>
              </w:rPr>
              <w:t>Remuneration and duties of Officers</w:t>
            </w:r>
          </w:p>
        </w:tc>
        <w:tc>
          <w:tcPr>
            <w:tcW w:w="3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2"/>
        </w:trPr>
        <w:tc>
          <w:tcPr>
            <w:tcW w:w="300" w:type="dxa"/>
            <w:vAlign w:val="bottom"/>
          </w:tcPr>
          <w:p>
            <w:pPr>
              <w:jc w:val="right"/>
              <w:spacing w:after="0"/>
              <w:rPr>
                <w:sz w:val="20"/>
                <w:szCs w:val="20"/>
                <w:color w:val="auto"/>
              </w:rPr>
            </w:pPr>
            <w:r>
              <w:rPr>
                <w:rFonts w:ascii="Arial" w:cs="Arial" w:eastAsia="Arial" w:hAnsi="Arial"/>
                <w:sz w:val="18"/>
                <w:szCs w:val="18"/>
                <w:color w:val="auto"/>
                <w:w w:val="87"/>
              </w:rPr>
              <w:t>62.</w:t>
            </w:r>
          </w:p>
        </w:tc>
        <w:tc>
          <w:tcPr>
            <w:tcW w:w="7340" w:type="dxa"/>
            <w:vAlign w:val="bottom"/>
          </w:tcPr>
          <w:p>
            <w:pPr>
              <w:ind w:left="240"/>
              <w:spacing w:after="0"/>
              <w:rPr>
                <w:sz w:val="20"/>
                <w:szCs w:val="20"/>
                <w:color w:val="auto"/>
              </w:rPr>
            </w:pPr>
            <w:r>
              <w:rPr>
                <w:rFonts w:ascii="Arial" w:cs="Arial" w:eastAsia="Arial" w:hAnsi="Arial"/>
                <w:sz w:val="18"/>
                <w:szCs w:val="18"/>
                <w:color w:val="auto"/>
              </w:rPr>
              <w:t>Minutes</w:t>
            </w:r>
          </w:p>
        </w:tc>
        <w:tc>
          <w:tcPr>
            <w:tcW w:w="3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0"/>
        </w:trPr>
        <w:tc>
          <w:tcPr>
            <w:tcW w:w="3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b w:val="1"/>
                <w:bCs w:val="1"/>
                <w:color w:val="auto"/>
              </w:rPr>
              <w:t>THE SEAL</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63.</w:t>
            </w:r>
          </w:p>
        </w:tc>
        <w:tc>
          <w:tcPr>
            <w:tcW w:w="7340" w:type="dxa"/>
            <w:vAlign w:val="bottom"/>
          </w:tcPr>
          <w:p>
            <w:pPr>
              <w:ind w:left="240"/>
              <w:spacing w:after="0"/>
              <w:rPr>
                <w:sz w:val="20"/>
                <w:szCs w:val="20"/>
                <w:color w:val="auto"/>
              </w:rPr>
            </w:pPr>
            <w:r>
              <w:rPr>
                <w:rFonts w:ascii="Arial" w:cs="Arial" w:eastAsia="Arial" w:hAnsi="Arial"/>
                <w:sz w:val="18"/>
                <w:szCs w:val="18"/>
                <w:color w:val="auto"/>
              </w:rPr>
              <w:t>The Seal</w:t>
            </w:r>
          </w:p>
        </w:tc>
        <w:tc>
          <w:tcPr>
            <w:tcW w:w="3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2"/>
        </w:trPr>
        <w:tc>
          <w:tcPr>
            <w:tcW w:w="300" w:type="dxa"/>
            <w:vAlign w:val="bottom"/>
          </w:tcPr>
          <w:p>
            <w:pPr>
              <w:jc w:val="right"/>
              <w:spacing w:after="0"/>
              <w:rPr>
                <w:sz w:val="20"/>
                <w:szCs w:val="20"/>
                <w:color w:val="auto"/>
              </w:rPr>
            </w:pPr>
            <w:r>
              <w:rPr>
                <w:rFonts w:ascii="Arial" w:cs="Arial" w:eastAsia="Arial" w:hAnsi="Arial"/>
                <w:sz w:val="18"/>
                <w:szCs w:val="18"/>
                <w:color w:val="auto"/>
                <w:w w:val="87"/>
              </w:rPr>
              <w:t>64.</w:t>
            </w:r>
          </w:p>
        </w:tc>
        <w:tc>
          <w:tcPr>
            <w:tcW w:w="7340" w:type="dxa"/>
            <w:vAlign w:val="bottom"/>
          </w:tcPr>
          <w:p>
            <w:pPr>
              <w:ind w:left="240"/>
              <w:spacing w:after="0"/>
              <w:rPr>
                <w:sz w:val="20"/>
                <w:szCs w:val="20"/>
                <w:color w:val="auto"/>
              </w:rPr>
            </w:pPr>
            <w:r>
              <w:rPr>
                <w:rFonts w:ascii="Arial" w:cs="Arial" w:eastAsia="Arial" w:hAnsi="Arial"/>
                <w:sz w:val="18"/>
                <w:szCs w:val="18"/>
                <w:color w:val="auto"/>
              </w:rPr>
              <w:t>Manner in which seal is to be affixed</w:t>
            </w:r>
          </w:p>
        </w:tc>
        <w:tc>
          <w:tcPr>
            <w:tcW w:w="3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0"/>
        </w:trPr>
        <w:tc>
          <w:tcPr>
            <w:tcW w:w="3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b w:val="1"/>
                <w:bCs w:val="1"/>
                <w:color w:val="auto"/>
              </w:rPr>
              <w:t>DIVIDENDS AND OTHER DISTRIBUTIONS</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65.</w:t>
            </w:r>
          </w:p>
        </w:tc>
        <w:tc>
          <w:tcPr>
            <w:tcW w:w="7340" w:type="dxa"/>
            <w:vAlign w:val="bottom"/>
          </w:tcPr>
          <w:p>
            <w:pPr>
              <w:ind w:left="240"/>
              <w:spacing w:after="0"/>
              <w:rPr>
                <w:sz w:val="20"/>
                <w:szCs w:val="20"/>
                <w:color w:val="auto"/>
              </w:rPr>
            </w:pPr>
            <w:r>
              <w:rPr>
                <w:rFonts w:ascii="Arial" w:cs="Arial" w:eastAsia="Arial" w:hAnsi="Arial"/>
                <w:sz w:val="18"/>
                <w:szCs w:val="18"/>
                <w:color w:val="auto"/>
              </w:rPr>
              <w:t>Declaration of dividends by the Board</w:t>
            </w:r>
          </w:p>
        </w:tc>
        <w:tc>
          <w:tcPr>
            <w:tcW w:w="3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66.</w:t>
            </w:r>
          </w:p>
        </w:tc>
        <w:tc>
          <w:tcPr>
            <w:tcW w:w="7340" w:type="dxa"/>
            <w:vAlign w:val="bottom"/>
          </w:tcPr>
          <w:p>
            <w:pPr>
              <w:ind w:left="240"/>
              <w:spacing w:after="0"/>
              <w:rPr>
                <w:sz w:val="20"/>
                <w:szCs w:val="20"/>
                <w:color w:val="auto"/>
              </w:rPr>
            </w:pPr>
            <w:r>
              <w:rPr>
                <w:rFonts w:ascii="Arial" w:cs="Arial" w:eastAsia="Arial" w:hAnsi="Arial"/>
                <w:sz w:val="18"/>
                <w:szCs w:val="18"/>
                <w:color w:val="auto"/>
              </w:rPr>
              <w:t>Other distributions</w:t>
            </w:r>
          </w:p>
        </w:tc>
        <w:tc>
          <w:tcPr>
            <w:tcW w:w="3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67.</w:t>
            </w:r>
          </w:p>
        </w:tc>
        <w:tc>
          <w:tcPr>
            <w:tcW w:w="7340" w:type="dxa"/>
            <w:vAlign w:val="bottom"/>
          </w:tcPr>
          <w:p>
            <w:pPr>
              <w:ind w:left="240"/>
              <w:spacing w:after="0"/>
              <w:rPr>
                <w:sz w:val="20"/>
                <w:szCs w:val="20"/>
                <w:color w:val="auto"/>
              </w:rPr>
            </w:pPr>
            <w:r>
              <w:rPr>
                <w:rFonts w:ascii="Arial" w:cs="Arial" w:eastAsia="Arial" w:hAnsi="Arial"/>
                <w:sz w:val="18"/>
                <w:szCs w:val="18"/>
                <w:color w:val="auto"/>
              </w:rPr>
              <w:t>Reserve fund</w:t>
            </w:r>
          </w:p>
        </w:tc>
        <w:tc>
          <w:tcPr>
            <w:tcW w:w="3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68.</w:t>
            </w:r>
          </w:p>
        </w:tc>
        <w:tc>
          <w:tcPr>
            <w:tcW w:w="7340" w:type="dxa"/>
            <w:vAlign w:val="bottom"/>
          </w:tcPr>
          <w:p>
            <w:pPr>
              <w:ind w:left="240"/>
              <w:spacing w:after="0"/>
              <w:rPr>
                <w:sz w:val="20"/>
                <w:szCs w:val="20"/>
                <w:color w:val="auto"/>
              </w:rPr>
            </w:pPr>
            <w:r>
              <w:rPr>
                <w:rFonts w:ascii="Arial" w:cs="Arial" w:eastAsia="Arial" w:hAnsi="Arial"/>
                <w:sz w:val="18"/>
                <w:szCs w:val="18"/>
                <w:color w:val="auto"/>
              </w:rPr>
              <w:t>Deduction of amounts due to the Company</w:t>
            </w:r>
          </w:p>
        </w:tc>
        <w:tc>
          <w:tcPr>
            <w:tcW w:w="3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2"/>
        </w:trPr>
        <w:tc>
          <w:tcPr>
            <w:tcW w:w="300" w:type="dxa"/>
            <w:vAlign w:val="bottom"/>
          </w:tcPr>
          <w:p>
            <w:pPr>
              <w:jc w:val="right"/>
              <w:spacing w:after="0"/>
              <w:rPr>
                <w:sz w:val="20"/>
                <w:szCs w:val="20"/>
                <w:color w:val="auto"/>
              </w:rPr>
            </w:pPr>
            <w:r>
              <w:rPr>
                <w:rFonts w:ascii="Arial" w:cs="Arial" w:eastAsia="Arial" w:hAnsi="Arial"/>
                <w:sz w:val="18"/>
                <w:szCs w:val="18"/>
                <w:color w:val="auto"/>
                <w:w w:val="87"/>
              </w:rPr>
              <w:t>69.</w:t>
            </w:r>
          </w:p>
        </w:tc>
        <w:tc>
          <w:tcPr>
            <w:tcW w:w="7340" w:type="dxa"/>
            <w:vAlign w:val="bottom"/>
          </w:tcPr>
          <w:p>
            <w:pPr>
              <w:ind w:left="240"/>
              <w:spacing w:after="0"/>
              <w:rPr>
                <w:sz w:val="20"/>
                <w:szCs w:val="20"/>
                <w:color w:val="auto"/>
              </w:rPr>
            </w:pPr>
            <w:r>
              <w:rPr>
                <w:rFonts w:ascii="Arial" w:cs="Arial" w:eastAsia="Arial" w:hAnsi="Arial"/>
                <w:sz w:val="18"/>
                <w:szCs w:val="18"/>
                <w:color w:val="auto"/>
              </w:rPr>
              <w:t>Record dates</w:t>
            </w:r>
          </w:p>
        </w:tc>
        <w:tc>
          <w:tcPr>
            <w:tcW w:w="3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0"/>
        </w:trPr>
        <w:tc>
          <w:tcPr>
            <w:tcW w:w="3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b w:val="1"/>
                <w:bCs w:val="1"/>
                <w:color w:val="auto"/>
              </w:rPr>
              <w:t>CAPITALISATION OF PROFITS</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2"/>
        </w:trPr>
        <w:tc>
          <w:tcPr>
            <w:tcW w:w="300" w:type="dxa"/>
            <w:vAlign w:val="bottom"/>
          </w:tcPr>
          <w:p>
            <w:pPr>
              <w:jc w:val="right"/>
              <w:spacing w:after="0"/>
              <w:rPr>
                <w:sz w:val="20"/>
                <w:szCs w:val="20"/>
                <w:color w:val="auto"/>
              </w:rPr>
            </w:pPr>
            <w:r>
              <w:rPr>
                <w:rFonts w:ascii="Arial" w:cs="Arial" w:eastAsia="Arial" w:hAnsi="Arial"/>
                <w:sz w:val="18"/>
                <w:szCs w:val="18"/>
                <w:color w:val="auto"/>
                <w:w w:val="87"/>
              </w:rPr>
              <w:t>70.</w:t>
            </w:r>
          </w:p>
        </w:tc>
        <w:tc>
          <w:tcPr>
            <w:tcW w:w="7340" w:type="dxa"/>
            <w:vAlign w:val="bottom"/>
          </w:tcPr>
          <w:p>
            <w:pPr>
              <w:ind w:left="240"/>
              <w:spacing w:after="0"/>
              <w:rPr>
                <w:sz w:val="20"/>
                <w:szCs w:val="20"/>
                <w:color w:val="auto"/>
              </w:rPr>
            </w:pPr>
            <w:r>
              <w:rPr>
                <w:rFonts w:ascii="Arial" w:cs="Arial" w:eastAsia="Arial" w:hAnsi="Arial"/>
                <w:sz w:val="18"/>
                <w:szCs w:val="18"/>
                <w:color w:val="auto"/>
              </w:rPr>
              <w:t>Issue of bonus shares</w:t>
            </w:r>
          </w:p>
        </w:tc>
        <w:tc>
          <w:tcPr>
            <w:tcW w:w="3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0"/>
        </w:trPr>
        <w:tc>
          <w:tcPr>
            <w:tcW w:w="3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b w:val="1"/>
                <w:bCs w:val="1"/>
                <w:color w:val="auto"/>
              </w:rPr>
              <w:t>ACCOUNTS AND FINANCIAL STATEMENTS</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71.</w:t>
            </w:r>
          </w:p>
        </w:tc>
        <w:tc>
          <w:tcPr>
            <w:tcW w:w="7340" w:type="dxa"/>
            <w:vAlign w:val="bottom"/>
          </w:tcPr>
          <w:p>
            <w:pPr>
              <w:ind w:left="240"/>
              <w:spacing w:after="0"/>
              <w:rPr>
                <w:sz w:val="20"/>
                <w:szCs w:val="20"/>
                <w:color w:val="auto"/>
              </w:rPr>
            </w:pPr>
            <w:r>
              <w:rPr>
                <w:rFonts w:ascii="Arial" w:cs="Arial" w:eastAsia="Arial" w:hAnsi="Arial"/>
                <w:sz w:val="18"/>
                <w:szCs w:val="18"/>
                <w:color w:val="auto"/>
              </w:rPr>
              <w:t>Records of account</w:t>
            </w:r>
          </w:p>
        </w:tc>
        <w:tc>
          <w:tcPr>
            <w:tcW w:w="3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72.</w:t>
            </w:r>
          </w:p>
        </w:tc>
        <w:tc>
          <w:tcPr>
            <w:tcW w:w="7340" w:type="dxa"/>
            <w:vAlign w:val="bottom"/>
          </w:tcPr>
          <w:p>
            <w:pPr>
              <w:ind w:left="240"/>
              <w:spacing w:after="0"/>
              <w:rPr>
                <w:sz w:val="20"/>
                <w:szCs w:val="20"/>
                <w:color w:val="auto"/>
              </w:rPr>
            </w:pPr>
            <w:r>
              <w:rPr>
                <w:rFonts w:ascii="Arial" w:cs="Arial" w:eastAsia="Arial" w:hAnsi="Arial"/>
                <w:sz w:val="18"/>
                <w:szCs w:val="18"/>
                <w:color w:val="auto"/>
              </w:rPr>
              <w:t>Financial year end</w:t>
            </w:r>
          </w:p>
        </w:tc>
        <w:tc>
          <w:tcPr>
            <w:tcW w:w="3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2"/>
        </w:trPr>
        <w:tc>
          <w:tcPr>
            <w:tcW w:w="300" w:type="dxa"/>
            <w:vAlign w:val="bottom"/>
          </w:tcPr>
          <w:p>
            <w:pPr>
              <w:jc w:val="right"/>
              <w:spacing w:after="0"/>
              <w:rPr>
                <w:sz w:val="20"/>
                <w:szCs w:val="20"/>
                <w:color w:val="auto"/>
              </w:rPr>
            </w:pPr>
            <w:r>
              <w:rPr>
                <w:rFonts w:ascii="Arial" w:cs="Arial" w:eastAsia="Arial" w:hAnsi="Arial"/>
                <w:sz w:val="18"/>
                <w:szCs w:val="18"/>
                <w:color w:val="auto"/>
                <w:w w:val="87"/>
              </w:rPr>
              <w:t>73.</w:t>
            </w:r>
          </w:p>
        </w:tc>
        <w:tc>
          <w:tcPr>
            <w:tcW w:w="734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3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0"/>
        </w:trPr>
        <w:tc>
          <w:tcPr>
            <w:tcW w:w="3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b w:val="1"/>
                <w:bCs w:val="1"/>
                <w:color w:val="auto"/>
              </w:rPr>
              <w:t>AUDIT</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74.</w:t>
            </w:r>
          </w:p>
        </w:tc>
        <w:tc>
          <w:tcPr>
            <w:tcW w:w="7340" w:type="dxa"/>
            <w:vAlign w:val="bottom"/>
          </w:tcPr>
          <w:p>
            <w:pPr>
              <w:ind w:left="240"/>
              <w:spacing w:after="0"/>
              <w:rPr>
                <w:sz w:val="20"/>
                <w:szCs w:val="20"/>
                <w:color w:val="auto"/>
              </w:rPr>
            </w:pPr>
            <w:r>
              <w:rPr>
                <w:rFonts w:ascii="Arial" w:cs="Arial" w:eastAsia="Arial" w:hAnsi="Arial"/>
                <w:sz w:val="18"/>
                <w:szCs w:val="18"/>
                <w:color w:val="auto"/>
              </w:rPr>
              <w:t>Auditors</w:t>
            </w:r>
          </w:p>
        </w:tc>
        <w:tc>
          <w:tcPr>
            <w:tcW w:w="3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2"/>
        </w:trPr>
        <w:tc>
          <w:tcPr>
            <w:tcW w:w="300" w:type="dxa"/>
            <w:vAlign w:val="bottom"/>
          </w:tcPr>
          <w:p>
            <w:pPr>
              <w:jc w:val="right"/>
              <w:spacing w:after="0"/>
              <w:rPr>
                <w:sz w:val="20"/>
                <w:szCs w:val="20"/>
                <w:color w:val="auto"/>
              </w:rPr>
            </w:pPr>
            <w:r>
              <w:rPr>
                <w:rFonts w:ascii="Arial" w:cs="Arial" w:eastAsia="Arial" w:hAnsi="Arial"/>
                <w:sz w:val="18"/>
                <w:szCs w:val="18"/>
                <w:color w:val="auto"/>
                <w:w w:val="87"/>
              </w:rPr>
              <w:t>75.</w:t>
            </w:r>
          </w:p>
        </w:tc>
        <w:tc>
          <w:tcPr>
            <w:tcW w:w="7340" w:type="dxa"/>
            <w:vAlign w:val="bottom"/>
          </w:tcPr>
          <w:p>
            <w:pPr>
              <w:ind w:left="240"/>
              <w:spacing w:after="0"/>
              <w:rPr>
                <w:sz w:val="20"/>
                <w:szCs w:val="20"/>
                <w:color w:val="auto"/>
              </w:rPr>
            </w:pPr>
            <w:r>
              <w:rPr>
                <w:rFonts w:ascii="Arial" w:cs="Arial" w:eastAsia="Arial" w:hAnsi="Arial"/>
                <w:sz w:val="18"/>
                <w:szCs w:val="18"/>
                <w:color w:val="auto"/>
              </w:rPr>
              <w:t>Service of Notices and Other Documents</w:t>
            </w:r>
          </w:p>
        </w:tc>
        <w:tc>
          <w:tcPr>
            <w:tcW w:w="3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0"/>
        </w:trPr>
        <w:tc>
          <w:tcPr>
            <w:tcW w:w="3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b w:val="1"/>
                <w:bCs w:val="1"/>
                <w:color w:val="auto"/>
              </w:rPr>
              <w:t>WINDING UP</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2"/>
        </w:trPr>
        <w:tc>
          <w:tcPr>
            <w:tcW w:w="300" w:type="dxa"/>
            <w:vAlign w:val="bottom"/>
          </w:tcPr>
          <w:p>
            <w:pPr>
              <w:jc w:val="right"/>
              <w:spacing w:after="0"/>
              <w:rPr>
                <w:sz w:val="20"/>
                <w:szCs w:val="20"/>
                <w:color w:val="auto"/>
              </w:rPr>
            </w:pPr>
            <w:r>
              <w:rPr>
                <w:rFonts w:ascii="Arial" w:cs="Arial" w:eastAsia="Arial" w:hAnsi="Arial"/>
                <w:sz w:val="18"/>
                <w:szCs w:val="18"/>
                <w:color w:val="auto"/>
                <w:w w:val="87"/>
              </w:rPr>
              <w:t>76.</w:t>
            </w:r>
          </w:p>
        </w:tc>
        <w:tc>
          <w:tcPr>
            <w:tcW w:w="7340" w:type="dxa"/>
            <w:vAlign w:val="bottom"/>
          </w:tcPr>
          <w:p>
            <w:pPr>
              <w:ind w:left="240"/>
              <w:spacing w:after="0"/>
              <w:rPr>
                <w:sz w:val="20"/>
                <w:szCs w:val="20"/>
                <w:color w:val="auto"/>
              </w:rPr>
            </w:pPr>
            <w:r>
              <w:rPr>
                <w:rFonts w:ascii="Arial" w:cs="Arial" w:eastAsia="Arial" w:hAnsi="Arial"/>
                <w:sz w:val="18"/>
                <w:szCs w:val="18"/>
                <w:color w:val="auto"/>
              </w:rPr>
              <w:t>Winding-up/distribution by liquidator</w:t>
            </w:r>
          </w:p>
        </w:tc>
        <w:tc>
          <w:tcPr>
            <w:tcW w:w="3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0"/>
        </w:trPr>
        <w:tc>
          <w:tcPr>
            <w:tcW w:w="3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b w:val="1"/>
                <w:bCs w:val="1"/>
                <w:color w:val="auto"/>
              </w:rPr>
              <w:t>INDEMNITY</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2"/>
        </w:trPr>
        <w:tc>
          <w:tcPr>
            <w:tcW w:w="300" w:type="dxa"/>
            <w:vAlign w:val="bottom"/>
          </w:tcPr>
          <w:p>
            <w:pPr>
              <w:jc w:val="right"/>
              <w:spacing w:after="0"/>
              <w:rPr>
                <w:sz w:val="20"/>
                <w:szCs w:val="20"/>
                <w:color w:val="auto"/>
              </w:rPr>
            </w:pPr>
            <w:r>
              <w:rPr>
                <w:rFonts w:ascii="Arial" w:cs="Arial" w:eastAsia="Arial" w:hAnsi="Arial"/>
                <w:sz w:val="18"/>
                <w:szCs w:val="18"/>
                <w:color w:val="auto"/>
                <w:w w:val="87"/>
              </w:rPr>
              <w:t>77.</w:t>
            </w:r>
          </w:p>
        </w:tc>
        <w:tc>
          <w:tcPr>
            <w:tcW w:w="7340" w:type="dxa"/>
            <w:vAlign w:val="bottom"/>
          </w:tcPr>
          <w:p>
            <w:pPr>
              <w:ind w:left="240"/>
              <w:spacing w:after="0"/>
              <w:rPr>
                <w:sz w:val="20"/>
                <w:szCs w:val="20"/>
                <w:color w:val="auto"/>
              </w:rPr>
            </w:pPr>
            <w:r>
              <w:rPr>
                <w:rFonts w:ascii="Arial" w:cs="Arial" w:eastAsia="Arial" w:hAnsi="Arial"/>
                <w:sz w:val="18"/>
                <w:szCs w:val="18"/>
                <w:color w:val="auto"/>
              </w:rPr>
              <w:t>Indemnification of Directors and Officers</w:t>
            </w:r>
          </w:p>
        </w:tc>
        <w:tc>
          <w:tcPr>
            <w:tcW w:w="3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0"/>
        </w:trPr>
        <w:tc>
          <w:tcPr>
            <w:tcW w:w="3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b w:val="1"/>
                <w:bCs w:val="1"/>
                <w:color w:val="auto"/>
              </w:rPr>
              <w:t>ALTERATION OF BYE-LAWS</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30"/>
        </w:trPr>
        <w:tc>
          <w:tcPr>
            <w:tcW w:w="300" w:type="dxa"/>
            <w:vAlign w:val="bottom"/>
          </w:tcPr>
          <w:p>
            <w:pPr>
              <w:jc w:val="right"/>
              <w:spacing w:after="0"/>
              <w:rPr>
                <w:sz w:val="20"/>
                <w:szCs w:val="20"/>
                <w:color w:val="auto"/>
              </w:rPr>
            </w:pPr>
            <w:r>
              <w:rPr>
                <w:rFonts w:ascii="Arial" w:cs="Arial" w:eastAsia="Arial" w:hAnsi="Arial"/>
                <w:sz w:val="18"/>
                <w:szCs w:val="18"/>
                <w:color w:val="auto"/>
                <w:w w:val="87"/>
              </w:rPr>
              <w:t>78.</w:t>
            </w:r>
          </w:p>
        </w:tc>
        <w:tc>
          <w:tcPr>
            <w:tcW w:w="7340" w:type="dxa"/>
            <w:vAlign w:val="bottom"/>
          </w:tcPr>
          <w:p>
            <w:pPr>
              <w:ind w:left="240"/>
              <w:spacing w:after="0"/>
              <w:rPr>
                <w:sz w:val="20"/>
                <w:szCs w:val="20"/>
                <w:color w:val="auto"/>
              </w:rPr>
            </w:pPr>
            <w:r>
              <w:rPr>
                <w:rFonts w:ascii="Arial" w:cs="Arial" w:eastAsia="Arial" w:hAnsi="Arial"/>
                <w:sz w:val="18"/>
                <w:szCs w:val="18"/>
                <w:color w:val="auto"/>
              </w:rPr>
              <w:t>Alteration of Bye-laws</w:t>
            </w:r>
          </w:p>
        </w:tc>
        <w:tc>
          <w:tcPr>
            <w:tcW w:w="368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11" w:name="page12"/>
    <w:bookmarkEnd w:id="11"/>
    <w:p>
      <w:pPr>
        <w:jc w:val="center"/>
        <w:ind w:right="-15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BYE - LAWS</w:t>
      </w:r>
    </w:p>
    <w:p>
      <w:pPr>
        <w:spacing w:after="0" w:line="22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Freescale Semiconductor, Ltd.</w:t>
      </w:r>
    </w:p>
    <w:p>
      <w:pPr>
        <w:spacing w:after="0" w:line="22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INTERPRETATION</w:t>
      </w:r>
    </w:p>
    <w:p>
      <w:pPr>
        <w:spacing w:after="0" w:line="252" w:lineRule="exact"/>
        <w:rPr>
          <w:sz w:val="20"/>
          <w:szCs w:val="20"/>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4"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In these Bye-laws:</w:t>
      </w:r>
    </w:p>
    <w:p>
      <w:pPr>
        <w:spacing w:after="0" w:line="113"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Companies Act 1981 as amended from time to time.</w:t>
      </w:r>
    </w:p>
    <w:p>
      <w:pPr>
        <w:spacing w:after="0" w:line="117"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Director</w:t>
      </w:r>
      <w:r>
        <w:rPr>
          <w:rFonts w:ascii="Arial" w:cs="Arial" w:eastAsia="Arial" w:hAnsi="Arial"/>
          <w:sz w:val="18"/>
          <w:szCs w:val="18"/>
          <w:color w:val="auto"/>
        </w:rPr>
        <w:t>” means an alternate Director appointed in accordance with these Bye-laws.</w:t>
      </w:r>
    </w:p>
    <w:p>
      <w:pPr>
        <w:spacing w:after="0" w:line="117" w:lineRule="exact"/>
        <w:rPr>
          <w:rFonts w:ascii="Arial" w:cs="Arial" w:eastAsia="Arial" w:hAnsi="Arial"/>
          <w:sz w:val="18"/>
          <w:szCs w:val="18"/>
          <w:color w:val="auto"/>
        </w:rPr>
      </w:pPr>
    </w:p>
    <w:p>
      <w:pPr>
        <w:ind w:left="572" w:right="12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Appointed Stock Exchange</w:t>
      </w:r>
      <w:r>
        <w:rPr>
          <w:rFonts w:ascii="Arial" w:cs="Arial" w:eastAsia="Arial" w:hAnsi="Arial"/>
          <w:sz w:val="18"/>
          <w:szCs w:val="18"/>
          <w:color w:val="auto"/>
        </w:rPr>
        <w:t>” means an electronic market for the trading of securities and identified as a “recognised investment exchange” or an “approved investment exchange” by the Bermuda Monetary Authority.</w:t>
      </w:r>
    </w:p>
    <w:p>
      <w:pPr>
        <w:spacing w:after="0" w:line="53"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Bermuda</w:t>
      </w:r>
      <w:r>
        <w:rPr>
          <w:rFonts w:ascii="Arial" w:cs="Arial" w:eastAsia="Arial" w:hAnsi="Arial"/>
          <w:sz w:val="18"/>
          <w:szCs w:val="18"/>
          <w:color w:val="auto"/>
        </w:rPr>
        <w:t>” means the Islands of Bermuda.</w:t>
      </w:r>
    </w:p>
    <w:p>
      <w:pPr>
        <w:spacing w:after="0" w:line="117" w:lineRule="exact"/>
        <w:rPr>
          <w:rFonts w:ascii="Arial" w:cs="Arial" w:eastAsia="Arial" w:hAnsi="Arial"/>
          <w:sz w:val="18"/>
          <w:szCs w:val="18"/>
          <w:color w:val="auto"/>
        </w:rPr>
      </w:pPr>
    </w:p>
    <w:p>
      <w:pPr>
        <w:ind w:left="572"/>
        <w:spacing w:after="0" w:line="347"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 appointed or elected pursuant to these Bye-laws and acting by resolution in accordance with the Act and these Bye-laws or the Directors present at a duly constituted meeting of Directors at which there is a quorum present.</w:t>
      </w:r>
    </w:p>
    <w:p>
      <w:pPr>
        <w:spacing w:after="0" w:line="8"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Freescale Semiconductor, Ltd. (registered in Bermuda under number 39158).</w:t>
      </w:r>
    </w:p>
    <w:p>
      <w:pPr>
        <w:spacing w:after="0" w:line="117"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 director of the Company for the time being appointed in accordance with these Bye-laws and includes an Alternate Director.</w:t>
      </w:r>
    </w:p>
    <w:p>
      <w:pPr>
        <w:spacing w:after="0" w:line="140" w:lineRule="exact"/>
        <w:rPr>
          <w:rFonts w:ascii="Arial" w:cs="Arial" w:eastAsia="Arial" w:hAnsi="Arial"/>
          <w:sz w:val="18"/>
          <w:szCs w:val="18"/>
          <w:color w:val="auto"/>
        </w:rPr>
      </w:pPr>
    </w:p>
    <w:p>
      <w:pPr>
        <w:ind w:left="572" w:right="180"/>
        <w:spacing w:after="0" w:line="32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 member of the Company holding one or more shares and, when two or more persons are registered as joint holders of shares, means the person whose name stands first in the Register of Members as one of such joint holders or all of such persons as the context requires. “</w:t>
      </w:r>
      <w:r>
        <w:rPr>
          <w:rFonts w:ascii="Arial" w:cs="Arial" w:eastAsia="Arial" w:hAnsi="Arial"/>
          <w:sz w:val="18"/>
          <w:szCs w:val="18"/>
          <w:b w:val="1"/>
          <w:bCs w:val="1"/>
          <w:color w:val="auto"/>
        </w:rPr>
        <w:t>Officer</w:t>
      </w:r>
      <w:r>
        <w:rPr>
          <w:rFonts w:ascii="Arial" w:cs="Arial" w:eastAsia="Arial" w:hAnsi="Arial"/>
          <w:sz w:val="18"/>
          <w:szCs w:val="18"/>
          <w:color w:val="auto"/>
        </w:rPr>
        <w:t>” means any person appointed by the Board to hold an office in the Company.</w:t>
      </w:r>
    </w:p>
    <w:p>
      <w:pPr>
        <w:spacing w:after="0" w:line="13"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 of Directors and Officers</w:t>
      </w:r>
      <w:r>
        <w:rPr>
          <w:rFonts w:ascii="Arial" w:cs="Arial" w:eastAsia="Arial" w:hAnsi="Arial"/>
          <w:sz w:val="17"/>
          <w:szCs w:val="17"/>
          <w:color w:val="auto"/>
        </w:rPr>
        <w:t>” means the register of directors and officers of the Company maintained by the Company in Bermuda.</w:t>
      </w:r>
    </w:p>
    <w:p>
      <w:pPr>
        <w:spacing w:after="0" w:line="128" w:lineRule="exact"/>
        <w:rPr>
          <w:rFonts w:ascii="Arial" w:cs="Arial" w:eastAsia="Arial" w:hAnsi="Arial"/>
          <w:sz w:val="18"/>
          <w:szCs w:val="18"/>
          <w:color w:val="auto"/>
        </w:rPr>
      </w:pPr>
    </w:p>
    <w:p>
      <w:pPr>
        <w:jc w:val="both"/>
        <w:ind w:left="572" w:right="8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 means the register of members of the Company maintained by the Company in Bermuda, or for such time as the shares of the company are listed or admitted to trading on an Appointed Stock Exchange, an operator register of members maintained in accordance with the rules or regulations of such Appointed Stock Exchange.</w:t>
      </w:r>
    </w:p>
    <w:p>
      <w:pPr>
        <w:spacing w:after="0" w:line="68" w:lineRule="exact"/>
        <w:rPr>
          <w:rFonts w:ascii="Arial" w:cs="Arial" w:eastAsia="Arial" w:hAnsi="Arial"/>
          <w:sz w:val="18"/>
          <w:szCs w:val="18"/>
          <w:color w:val="auto"/>
        </w:rPr>
      </w:pPr>
    </w:p>
    <w:p>
      <w:pPr>
        <w:ind w:left="572" w:right="18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 means the registered office of the Company which shall be at such place in Bermuda as the Directors shall from time to time appoint.</w:t>
      </w:r>
    </w:p>
    <w:p>
      <w:pPr>
        <w:spacing w:after="0" w:line="53" w:lineRule="exact"/>
        <w:rPr>
          <w:rFonts w:ascii="Arial" w:cs="Arial" w:eastAsia="Arial" w:hAnsi="Arial"/>
          <w:sz w:val="18"/>
          <w:szCs w:val="18"/>
          <w:color w:val="auto"/>
        </w:rPr>
      </w:pPr>
    </w:p>
    <w:p>
      <w:pPr>
        <w:ind w:left="572" w:right="4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Resident Representative</w:t>
      </w:r>
      <w:r>
        <w:rPr>
          <w:rFonts w:ascii="Arial" w:cs="Arial" w:eastAsia="Arial" w:hAnsi="Arial"/>
          <w:sz w:val="18"/>
          <w:szCs w:val="18"/>
          <w:color w:val="auto"/>
        </w:rPr>
        <w:t>” means any person or a company ordinarily resident in Bermuda appointed to act as resident representative and includes any deputy or assistant resident representative.</w:t>
      </w:r>
    </w:p>
    <w:p>
      <w:pPr>
        <w:spacing w:after="0" w:line="53" w:lineRule="exact"/>
        <w:rPr>
          <w:rFonts w:ascii="Arial" w:cs="Arial" w:eastAsia="Arial" w:hAnsi="Arial"/>
          <w:sz w:val="18"/>
          <w:szCs w:val="18"/>
          <w:color w:val="auto"/>
        </w:rPr>
      </w:pPr>
    </w:p>
    <w:p>
      <w:pPr>
        <w:ind w:left="572" w:right="20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w:t>
      </w:r>
      <w:r>
        <w:rPr>
          <w:rFonts w:ascii="Arial" w:cs="Arial" w:eastAsia="Arial" w:hAnsi="Arial"/>
          <w:sz w:val="18"/>
          <w:szCs w:val="18"/>
          <w:color w:val="auto"/>
        </w:rPr>
        <w:t>” means a resolution of the Members, or where required, of a separate class or separate classes of Members, adopted either in general meeting or by written resolution, in accordance with these Bye-laws.</w:t>
      </w:r>
    </w:p>
    <w:p>
      <w:pPr>
        <w:spacing w:after="0" w:line="9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52"/>
          </w:cols>
          <w:pgMar w:left="248" w:top="274" w:right="399" w:bottom="1440" w:gutter="0" w:footer="0" w:header="0"/>
        </w:sectPr>
      </w:pPr>
    </w:p>
    <w:bookmarkStart w:id="12" w:name="page13"/>
    <w:bookmarkEnd w:id="12"/>
    <w:p>
      <w:pPr>
        <w:ind w:left="5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Seal</w:t>
      </w:r>
      <w:r>
        <w:rPr>
          <w:rFonts w:ascii="Arial" w:cs="Arial" w:eastAsia="Arial" w:hAnsi="Arial"/>
          <w:sz w:val="18"/>
          <w:szCs w:val="18"/>
          <w:color w:val="auto"/>
        </w:rPr>
        <w:t>” means the common seal of the Company and includes any duplicate thereof.</w:t>
      </w:r>
    </w:p>
    <w:p>
      <w:pPr>
        <w:spacing w:after="0" w:line="117" w:lineRule="exact"/>
        <w:rPr>
          <w:sz w:val="20"/>
          <w:szCs w:val="20"/>
          <w:color w:val="auto"/>
        </w:rPr>
      </w:pPr>
    </w:p>
    <w:p>
      <w:pPr>
        <w:ind w:left="572"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w:t>
      </w:r>
      <w:r>
        <w:rPr>
          <w:rFonts w:ascii="Arial" w:cs="Arial" w:eastAsia="Arial" w:hAnsi="Arial"/>
          <w:sz w:val="18"/>
          <w:szCs w:val="18"/>
          <w:color w:val="auto"/>
        </w:rPr>
        <w:t>” means (subject to the provisions of the Act) the person, or a company ordinarily resident in Bermuda, for the time being appointed to perform the duties of the Secretary of the Company and includes an assistant, acting or deputy secretary.</w:t>
      </w:r>
    </w:p>
    <w:p>
      <w:pPr>
        <w:spacing w:after="0" w:line="54" w:lineRule="exact"/>
        <w:rPr>
          <w:sz w:val="20"/>
          <w:szCs w:val="20"/>
          <w:color w:val="auto"/>
        </w:rPr>
      </w:pPr>
    </w:p>
    <w:p>
      <w:pPr>
        <w:ind w:left="5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w:t>
      </w:r>
      <w:r>
        <w:rPr>
          <w:rFonts w:ascii="Arial" w:cs="Arial" w:eastAsia="Arial" w:hAnsi="Arial"/>
          <w:sz w:val="18"/>
          <w:szCs w:val="18"/>
          <w:color w:val="auto"/>
        </w:rPr>
        <w:t>” means a share of the Company that is treated as having been acquired and held by the Company and has been held continuously by the Company since it was so acquired and has not been cancelled.</w:t>
      </w:r>
    </w:p>
    <w:p>
      <w:pPr>
        <w:spacing w:after="0" w:line="71"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these Bye-laws, unless inconsistent with the context or the contrary intention appears, a reference to:</w:t>
      </w:r>
    </w:p>
    <w:p>
      <w:pPr>
        <w:spacing w:after="0" w:line="127" w:lineRule="exact"/>
        <w:rPr>
          <w:sz w:val="20"/>
          <w:szCs w:val="20"/>
          <w:color w:val="auto"/>
        </w:rPr>
      </w:pPr>
    </w:p>
    <w:p>
      <w:pPr>
        <w:ind w:left="1132" w:right="6780" w:hanging="565"/>
        <w:spacing w:after="0" w:line="397" w:lineRule="auto"/>
        <w:tabs>
          <w:tab w:leader="none" w:pos="1125"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paid up</w:t>
      </w:r>
      <w:r>
        <w:rPr>
          <w:rFonts w:ascii="Arial" w:cs="Arial" w:eastAsia="Arial" w:hAnsi="Arial"/>
          <w:sz w:val="17"/>
          <w:szCs w:val="17"/>
          <w:color w:val="auto"/>
        </w:rPr>
        <w:t>” means paid up or credited as paid up; “</w:t>
      </w:r>
      <w:r>
        <w:rPr>
          <w:rFonts w:ascii="Arial" w:cs="Arial" w:eastAsia="Arial" w:hAnsi="Arial"/>
          <w:sz w:val="17"/>
          <w:szCs w:val="17"/>
          <w:b w:val="1"/>
          <w:bCs w:val="1"/>
          <w:color w:val="auto"/>
        </w:rPr>
        <w:t>may</w:t>
      </w:r>
      <w:r>
        <w:rPr>
          <w:rFonts w:ascii="Arial" w:cs="Arial" w:eastAsia="Arial" w:hAnsi="Arial"/>
          <w:sz w:val="17"/>
          <w:szCs w:val="17"/>
          <w:color w:val="auto"/>
        </w:rPr>
        <w:t>” shall be construed as permissive; “</w:t>
      </w:r>
      <w:r>
        <w:rPr>
          <w:rFonts w:ascii="Arial" w:cs="Arial" w:eastAsia="Arial" w:hAnsi="Arial"/>
          <w:sz w:val="17"/>
          <w:szCs w:val="17"/>
          <w:b w:val="1"/>
          <w:bCs w:val="1"/>
          <w:color w:val="auto"/>
        </w:rPr>
        <w:t>shall</w:t>
      </w:r>
      <w:r>
        <w:rPr>
          <w:rFonts w:ascii="Arial" w:cs="Arial" w:eastAsia="Arial" w:hAnsi="Arial"/>
          <w:sz w:val="17"/>
          <w:szCs w:val="17"/>
          <w:color w:val="auto"/>
        </w:rPr>
        <w:t>” shall be construed as imperative; and</w:t>
      </w:r>
    </w:p>
    <w:p>
      <w:pPr>
        <w:spacing w:after="0" w:line="2" w:lineRule="exact"/>
        <w:rPr>
          <w:rFonts w:ascii="Arial" w:cs="Arial" w:eastAsia="Arial" w:hAnsi="Arial"/>
          <w:sz w:val="17"/>
          <w:szCs w:val="17"/>
          <w:color w:val="auto"/>
        </w:rPr>
      </w:pPr>
    </w:p>
    <w:p>
      <w:pPr>
        <w:ind w:left="1132"/>
        <w:spacing w:after="0"/>
        <w:rPr>
          <w:rFonts w:ascii="Arial" w:cs="Arial" w:eastAsia="Arial" w:hAnsi="Arial"/>
          <w:sz w:val="17"/>
          <w:szCs w:val="17"/>
          <w:color w:val="auto"/>
        </w:rPr>
      </w:pPr>
      <w:r>
        <w:rPr>
          <w:rFonts w:ascii="Arial" w:cs="Arial" w:eastAsia="Arial" w:hAnsi="Arial"/>
          <w:sz w:val="18"/>
          <w:szCs w:val="18"/>
          <w:color w:val="auto"/>
        </w:rPr>
        <w:t>a “</w:t>
      </w:r>
      <w:r>
        <w:rPr>
          <w:rFonts w:ascii="Arial" w:cs="Arial" w:eastAsia="Arial" w:hAnsi="Arial"/>
          <w:sz w:val="18"/>
          <w:szCs w:val="18"/>
          <w:b w:val="1"/>
          <w:bCs w:val="1"/>
          <w:color w:val="auto"/>
        </w:rPr>
        <w:t>share</w:t>
      </w:r>
      <w:r>
        <w:rPr>
          <w:rFonts w:ascii="Arial" w:cs="Arial" w:eastAsia="Arial" w:hAnsi="Arial"/>
          <w:sz w:val="18"/>
          <w:szCs w:val="18"/>
          <w:color w:val="auto"/>
        </w:rPr>
        <w:t>” means a share in the capital of the Company.</w:t>
      </w:r>
    </w:p>
    <w:p>
      <w:pPr>
        <w:spacing w:after="0" w:line="134" w:lineRule="exact"/>
        <w:rPr>
          <w:rFonts w:ascii="Arial" w:cs="Arial" w:eastAsia="Arial" w:hAnsi="Arial"/>
          <w:sz w:val="17"/>
          <w:szCs w:val="17"/>
          <w:color w:val="auto"/>
        </w:rPr>
      </w:pPr>
    </w:p>
    <w:p>
      <w:pPr>
        <w:ind w:left="1132" w:right="680" w:hanging="565"/>
        <w:spacing w:after="0" w:line="277" w:lineRule="auto"/>
        <w:tabs>
          <w:tab w:leader="none" w:pos="113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meeting (whether of the Directors, a committee appointed by the Board, the Members or any class of the Members) includes any adjournment of that meeting;</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singular includes the plural and vice versa;</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masculine includes the feminine and neuter respectively;</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include companies, associations or bodies of persons, whether corporate or not;</w:t>
      </w:r>
    </w:p>
    <w:p>
      <w:pPr>
        <w:spacing w:after="0" w:line="130" w:lineRule="exact"/>
        <w:rPr>
          <w:rFonts w:ascii="Arial" w:cs="Arial" w:eastAsia="Arial" w:hAnsi="Arial"/>
          <w:sz w:val="18"/>
          <w:szCs w:val="18"/>
          <w:color w:val="auto"/>
        </w:rPr>
      </w:pPr>
    </w:p>
    <w:p>
      <w:pPr>
        <w:ind w:left="1132" w:right="540" w:hanging="565"/>
        <w:spacing w:after="0" w:line="277" w:lineRule="auto"/>
        <w:tabs>
          <w:tab w:leader="none" w:pos="1132"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writing includes typewriting, printing, lithography, photography and other modes of representing or reproducing words in a legible and non-transitory form;</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bye-law is a reference to a Bye-law of these Bye-laws; and</w:t>
      </w:r>
    </w:p>
    <w:p>
      <w:pPr>
        <w:spacing w:after="0" w:line="130" w:lineRule="exact"/>
        <w:rPr>
          <w:rFonts w:ascii="Arial" w:cs="Arial" w:eastAsia="Arial" w:hAnsi="Arial"/>
          <w:sz w:val="18"/>
          <w:szCs w:val="18"/>
          <w:color w:val="auto"/>
        </w:rPr>
      </w:pPr>
    </w:p>
    <w:p>
      <w:pPr>
        <w:ind w:left="1132" w:right="140" w:hanging="565"/>
        <w:spacing w:after="0" w:line="277" w:lineRule="auto"/>
        <w:tabs>
          <w:tab w:leader="none" w:pos="1132"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statute or law is a reference to a Bermuda statute or law and a provision of any statute or law is a reference to that provision as amended or re-enacted.</w:t>
      </w:r>
    </w:p>
    <w:p>
      <w:pPr>
        <w:spacing w:after="0" w:line="76" w:lineRule="exact"/>
        <w:rPr>
          <w:sz w:val="20"/>
          <w:szCs w:val="20"/>
          <w:color w:val="auto"/>
        </w:rPr>
      </w:pPr>
    </w:p>
    <w:p>
      <w:pPr>
        <w:ind w:left="1132" w:right="320" w:hanging="566"/>
        <w:spacing w:after="0" w:line="308" w:lineRule="auto"/>
        <w:tabs>
          <w:tab w:leader="none" w:pos="111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Unless otherwise provided in these Bye-laws, any terms defined in the Act in force at the date when these Bye-laws or any part hereof are adopted and used in these Bye-laws shall bear the same meaning in these Bye-laws or such part (as the case may be).</w:t>
      </w:r>
    </w:p>
    <w:p>
      <w:pPr>
        <w:spacing w:after="0" w:line="52" w:lineRule="exact"/>
        <w:rPr>
          <w:sz w:val="20"/>
          <w:szCs w:val="20"/>
          <w:color w:val="auto"/>
        </w:rPr>
      </w:pPr>
    </w:p>
    <w:p>
      <w:pPr>
        <w:ind w:left="1132" w:right="140" w:hanging="566"/>
        <w:spacing w:after="0" w:line="277" w:lineRule="auto"/>
        <w:tabs>
          <w:tab w:leader="none" w:pos="111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For the purposes of these Bye-laws a corporation shall be deemed to be present in person if its representative duly authorised pursuant to the Act is present.</w:t>
      </w:r>
    </w:p>
    <w:p>
      <w:pPr>
        <w:spacing w:after="0" w:line="76"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index to and the headings in these Bye-laws are for convenience only and are to be ignored in construing these Bye-laws.</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SHARE CAPITAL AND SHARE RIGHTS</w:t>
      </w:r>
    </w:p>
    <w:p>
      <w:pPr>
        <w:spacing w:after="0" w:line="252" w:lineRule="exact"/>
        <w:rPr>
          <w:sz w:val="20"/>
          <w:szCs w:val="20"/>
          <w:color w:val="auto"/>
        </w:rPr>
      </w:pPr>
    </w:p>
    <w:p>
      <w:pPr>
        <w:ind w:left="572" w:hanging="572"/>
        <w:spacing w:after="0"/>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Rights of shares</w:t>
      </w:r>
    </w:p>
    <w:p>
      <w:pPr>
        <w:spacing w:after="0" w:line="134" w:lineRule="exact"/>
        <w:rPr>
          <w:rFonts w:ascii="Arial" w:cs="Arial" w:eastAsia="Arial" w:hAnsi="Arial"/>
          <w:sz w:val="18"/>
          <w:szCs w:val="18"/>
          <w:color w:val="auto"/>
        </w:rPr>
      </w:pPr>
    </w:p>
    <w:p>
      <w:pPr>
        <w:jc w:val="both"/>
        <w:ind w:left="1132" w:right="60" w:hanging="567"/>
        <w:spacing w:after="0" w:line="259" w:lineRule="auto"/>
        <w:rPr>
          <w:rFonts w:ascii="Arial" w:cs="Arial" w:eastAsia="Arial" w:hAnsi="Arial"/>
          <w:sz w:val="18"/>
          <w:szCs w:val="18"/>
          <w:color w:val="auto"/>
        </w:rPr>
      </w:pPr>
      <w:r>
        <w:rPr>
          <w:rFonts w:ascii="Arial" w:cs="Arial" w:eastAsia="Arial" w:hAnsi="Arial"/>
          <w:sz w:val="18"/>
          <w:szCs w:val="18"/>
          <w:color w:val="auto"/>
        </w:rPr>
        <w:t>2.1Subject to any special rights conferred on the holders of any share or class of shares, any share in the Company may be issued with or have attached thereto such preferred, deferred, qualified or other special rights or such restrictions, whether in regard to dividend, voting, return of capital or otherwise, as the Company may by Resolution determine or, if there has not been any such determination or so far as the same shall not make specific provision, as the Board may determine.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0" w:right="259" w:bottom="1440" w:gutter="0" w:footer="0" w:header="0"/>
        </w:sectPr>
      </w:pPr>
    </w:p>
    <w:bookmarkStart w:id="13" w:name="page14"/>
    <w:bookmarkEnd w:id="13"/>
    <w:p>
      <w:pPr>
        <w:ind w:left="1132" w:right="40" w:hanging="566"/>
        <w:spacing w:after="0" w:line="277" w:lineRule="auto"/>
        <w:tabs>
          <w:tab w:leader="none" w:pos="11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The Company may, without the sanction of a Resolution, purchase its own shares to be held as Treasury Shares in accordance with the Act on such terms as the Board shall think fit.</w:t>
      </w:r>
    </w:p>
    <w:p>
      <w:pPr>
        <w:spacing w:after="0" w:line="76" w:lineRule="exact"/>
        <w:rPr>
          <w:sz w:val="20"/>
          <w:szCs w:val="20"/>
          <w:color w:val="auto"/>
        </w:rPr>
      </w:pPr>
    </w:p>
    <w:p>
      <w:pPr>
        <w:ind w:left="1132" w:right="60" w:hanging="566"/>
        <w:spacing w:after="0" w:line="277" w:lineRule="auto"/>
        <w:tabs>
          <w:tab w:leader="none" w:pos="111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Board may, without the sanction of a Resolution, exercise all the powers of the Company to purchase or acquire all or any part of its own shares in accordance with the Act.</w:t>
      </w:r>
    </w:p>
    <w:p>
      <w:pPr>
        <w:spacing w:after="0" w:line="76" w:lineRule="exact"/>
        <w:rPr>
          <w:sz w:val="20"/>
          <w:szCs w:val="20"/>
          <w:color w:val="auto"/>
        </w:rPr>
      </w:pPr>
    </w:p>
    <w:p>
      <w:pPr>
        <w:ind w:left="1132" w:right="160" w:hanging="566"/>
        <w:spacing w:after="0" w:line="259" w:lineRule="auto"/>
        <w:tabs>
          <w:tab w:leader="none" w:pos="111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In respect of any Treasury Share, the Company will be entered in the Register of Members as the holder of those Shares and shall be a Member of the Company subject to the Act. All the rights attaching to a Treasury Share shall be suspended and shall not be exercised by the Company while it holds such Treasury Share and, except where required by the Act, all Treasury Shares shall be excluded from the calculation of any percentage or fraction of the share capital, or shares, of the Company.</w:t>
      </w:r>
    </w:p>
    <w:p>
      <w:pPr>
        <w:spacing w:after="0" w:line="331" w:lineRule="exact"/>
        <w:rPr>
          <w:sz w:val="20"/>
          <w:szCs w:val="20"/>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Modification of share rights</w:t>
      </w:r>
    </w:p>
    <w:p>
      <w:pPr>
        <w:spacing w:after="0" w:line="134" w:lineRule="exact"/>
        <w:rPr>
          <w:rFonts w:ascii="Arial" w:cs="Arial" w:eastAsia="Arial" w:hAnsi="Arial"/>
          <w:sz w:val="18"/>
          <w:szCs w:val="18"/>
          <w:color w:val="auto"/>
        </w:rPr>
      </w:pPr>
    </w:p>
    <w:p>
      <w:pPr>
        <w:ind w:left="1132" w:right="60" w:hanging="567"/>
        <w:spacing w:after="0" w:line="271" w:lineRule="auto"/>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7"/>
          <w:szCs w:val="17"/>
          <w:color w:val="auto"/>
        </w:rPr>
        <w:t>Subject to the Act, if at any time the capital of the Company is divided into different classes of shares, all or any of the rights for the time being attached to any class of shares may from time to time (whether or not the Company is being wound up) be altered or abrogated with the consent in writing of the holders of not less than 75% of the issued shares of that class or with the sanction of a Resolution of the holders of such shares voting in person or by proxy at a separate general meeting of the holders of the shares of that class. To any such separate general meeting, all the provisions for these Bye-Laws as to general meetings of the Company shall mutatis mutandis apply, but so that the necessary quorum shall be one or more persons holding or representing by proxy any of the shares of the relevant class, that every holder of shares of the relevant class shall be entitled on a poll to one vote for every such share held by him and that any holder of shares of the relevant class present in person or by proxy may demand a poll.</w:t>
      </w:r>
    </w:p>
    <w:p>
      <w:pPr>
        <w:spacing w:after="0" w:line="84" w:lineRule="exact"/>
        <w:rPr>
          <w:rFonts w:ascii="Arial" w:cs="Arial" w:eastAsia="Arial" w:hAnsi="Arial"/>
          <w:sz w:val="18"/>
          <w:szCs w:val="18"/>
          <w:color w:val="auto"/>
        </w:rPr>
      </w:pPr>
    </w:p>
    <w:p>
      <w:pPr>
        <w:ind w:left="1132" w:right="460" w:hanging="567"/>
        <w:spacing w:after="0" w:line="264" w:lineRule="auto"/>
        <w:rPr>
          <w:rFonts w:ascii="Arial" w:cs="Arial" w:eastAsia="Arial" w:hAnsi="Arial"/>
          <w:sz w:val="18"/>
          <w:szCs w:val="18"/>
          <w:color w:val="auto"/>
        </w:rPr>
      </w:pPr>
      <w:r>
        <w:rPr>
          <w:rFonts w:ascii="Arial" w:cs="Arial" w:eastAsia="Arial" w:hAnsi="Arial"/>
          <w:sz w:val="18"/>
          <w:szCs w:val="18"/>
          <w:color w:val="auto"/>
        </w:rPr>
        <w:t>3.2The special rights conferred upon the holders of any shares or class of shares shall not, unless otherwise expressly provided in the rights attaching to or the terms or issue of such shares, be deemed to be altered by the creation or issue of further shares ranking pari passu therewith.</w:t>
      </w:r>
    </w:p>
    <w:p>
      <w:pPr>
        <w:spacing w:after="0" w:line="325" w:lineRule="exact"/>
        <w:rPr>
          <w:rFonts w:ascii="Arial" w:cs="Arial" w:eastAsia="Arial" w:hAnsi="Arial"/>
          <w:sz w:val="18"/>
          <w:szCs w:val="18"/>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Increase, reduction or alteration of Capital</w:t>
      </w:r>
    </w:p>
    <w:p>
      <w:pPr>
        <w:spacing w:after="0" w:line="134" w:lineRule="exact"/>
        <w:rPr>
          <w:rFonts w:ascii="Arial" w:cs="Arial" w:eastAsia="Arial" w:hAnsi="Arial"/>
          <w:sz w:val="18"/>
          <w:szCs w:val="18"/>
          <w:color w:val="auto"/>
        </w:rPr>
      </w:pPr>
    </w:p>
    <w:p>
      <w:pPr>
        <w:ind w:left="1132" w:right="440" w:hanging="567"/>
        <w:spacing w:after="0" w:line="277" w:lineRule="auto"/>
        <w:rPr>
          <w:rFonts w:ascii="Arial" w:cs="Arial" w:eastAsia="Arial" w:hAnsi="Arial"/>
          <w:sz w:val="18"/>
          <w:szCs w:val="18"/>
          <w:color w:val="auto"/>
        </w:rPr>
      </w:pPr>
      <w:r>
        <w:rPr>
          <w:rFonts w:ascii="Arial" w:cs="Arial" w:eastAsia="Arial" w:hAnsi="Arial"/>
          <w:sz w:val="18"/>
          <w:szCs w:val="18"/>
          <w:color w:val="auto"/>
        </w:rPr>
        <w:t>4.1The Company may from time to time by Resolution change the currency of denomination of, increase, alter or reduce its share capital in accordance with the Act.</w:t>
      </w:r>
    </w:p>
    <w:p>
      <w:pPr>
        <w:spacing w:after="0" w:line="75" w:lineRule="exact"/>
        <w:rPr>
          <w:rFonts w:ascii="Arial" w:cs="Arial" w:eastAsia="Arial" w:hAnsi="Arial"/>
          <w:sz w:val="18"/>
          <w:szCs w:val="18"/>
          <w:color w:val="auto"/>
        </w:rPr>
      </w:pPr>
    </w:p>
    <w:p>
      <w:pPr>
        <w:ind w:left="1132" w:right="100" w:hanging="567"/>
        <w:spacing w:after="0" w:line="264" w:lineRule="auto"/>
        <w:rPr>
          <w:rFonts w:ascii="Arial" w:cs="Arial" w:eastAsia="Arial" w:hAnsi="Arial"/>
          <w:sz w:val="18"/>
          <w:szCs w:val="18"/>
          <w:color w:val="auto"/>
        </w:rPr>
      </w:pPr>
      <w:r>
        <w:rPr>
          <w:rFonts w:ascii="Arial" w:cs="Arial" w:eastAsia="Arial" w:hAnsi="Arial"/>
          <w:sz w:val="18"/>
          <w:szCs w:val="18"/>
          <w:color w:val="auto"/>
        </w:rPr>
        <w:t>4.2Where any fraction of a share or other difficulty arises on any alteration, the Board may settle the same as it thinks fit including, without limitation to the generality of the foregoing, the issue to Members of fractions of shares and/or arranging for the sale and transfer of fractions of shares of Members.</w:t>
      </w:r>
    </w:p>
    <w:p>
      <w:pPr>
        <w:spacing w:after="0" w:line="325" w:lineRule="exact"/>
        <w:rPr>
          <w:rFonts w:ascii="Arial" w:cs="Arial" w:eastAsia="Arial" w:hAnsi="Arial"/>
          <w:sz w:val="18"/>
          <w:szCs w:val="18"/>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Power to issue shares</w:t>
      </w:r>
    </w:p>
    <w:p>
      <w:pPr>
        <w:spacing w:after="0" w:line="134" w:lineRule="exact"/>
        <w:rPr>
          <w:rFonts w:ascii="Arial" w:cs="Arial" w:eastAsia="Arial" w:hAnsi="Arial"/>
          <w:sz w:val="18"/>
          <w:szCs w:val="18"/>
          <w:color w:val="auto"/>
        </w:rPr>
      </w:pPr>
    </w:p>
    <w:p>
      <w:pPr>
        <w:ind w:left="1132" w:right="120" w:hanging="567"/>
        <w:spacing w:after="0" w:line="342" w:lineRule="auto"/>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Subject to the Act, any preference shares may be issued or converted into shares that, at a determinable date or at the option of the Company, are liable to be redeemed on such terms and in such manner as the Company before the issue or conversion may by Resolution determine.</w:t>
      </w:r>
    </w:p>
    <w:p>
      <w:pPr>
        <w:spacing w:after="0" w:line="29" w:lineRule="exact"/>
        <w:rPr>
          <w:rFonts w:ascii="Arial" w:cs="Arial" w:eastAsia="Arial" w:hAnsi="Arial"/>
          <w:sz w:val="18"/>
          <w:szCs w:val="18"/>
          <w:color w:val="auto"/>
        </w:rPr>
      </w:pPr>
    </w:p>
    <w:p>
      <w:pPr>
        <w:ind w:left="1132" w:hanging="567"/>
        <w:spacing w:after="0" w:line="286" w:lineRule="auto"/>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7"/>
          <w:szCs w:val="17"/>
          <w:color w:val="auto"/>
        </w:rPr>
        <w:t>Subject to the provisions of these Bye-laws, the unissued shares of the Company (whether forming part of the original capital or any increased capital) shall be at the disposal of the Board, which may offer, allot, grant options over or otherwise dispose of them to such persons, at such times and for such consideration and upon such terms and conditions as the Board may determine.</w:t>
      </w:r>
    </w:p>
    <w:p>
      <w:pPr>
        <w:spacing w:after="0" w:line="70" w:lineRule="exact"/>
        <w:rPr>
          <w:rFonts w:ascii="Arial" w:cs="Arial" w:eastAsia="Arial" w:hAnsi="Arial"/>
          <w:sz w:val="18"/>
          <w:szCs w:val="18"/>
          <w:color w:val="auto"/>
        </w:rPr>
      </w:pPr>
    </w:p>
    <w:p>
      <w:pPr>
        <w:ind w:left="1132" w:right="120" w:hanging="567"/>
        <w:spacing w:after="0" w:line="308" w:lineRule="auto"/>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7"/>
          <w:szCs w:val="17"/>
          <w:color w:val="auto"/>
        </w:rPr>
        <w:t>Subject to these Bye-laws, any Treasury Shares held by the Company will be at the disposal of the Board, which may elect to hold the shares as Treasury Shares, dispose of or transfer the shares for cash or other consideration, or cancel any of the shares.</w:t>
      </w:r>
    </w:p>
    <w:p>
      <w:pPr>
        <w:spacing w:after="0" w:line="51" w:lineRule="exact"/>
        <w:rPr>
          <w:rFonts w:ascii="Arial" w:cs="Arial" w:eastAsia="Arial" w:hAnsi="Arial"/>
          <w:sz w:val="18"/>
          <w:szCs w:val="18"/>
          <w:color w:val="auto"/>
        </w:rPr>
      </w:pPr>
    </w:p>
    <w:p>
      <w:pPr>
        <w:ind w:left="1132" w:right="60" w:hanging="567"/>
        <w:spacing w:after="0" w:line="277" w:lineRule="auto"/>
        <w:rPr>
          <w:rFonts w:ascii="Arial" w:cs="Arial" w:eastAsia="Arial" w:hAnsi="Arial"/>
          <w:sz w:val="18"/>
          <w:szCs w:val="18"/>
          <w:color w:val="auto"/>
        </w:rPr>
      </w:pPr>
      <w:r>
        <w:rPr>
          <w:rFonts w:ascii="Arial" w:cs="Arial" w:eastAsia="Arial" w:hAnsi="Arial"/>
          <w:sz w:val="18"/>
          <w:szCs w:val="18"/>
          <w:color w:val="auto"/>
        </w:rPr>
        <w:t>5.4The Board may in connection with the issue of any shares exercise all powers of paying commission and brokerage conferred or permitted by law.</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14" w:name="page15"/>
    <w:bookmarkEnd w:id="14"/>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Registered holder of shares</w:t>
      </w:r>
    </w:p>
    <w:p>
      <w:pPr>
        <w:spacing w:after="0" w:line="134" w:lineRule="exact"/>
        <w:rPr>
          <w:rFonts w:ascii="Arial" w:cs="Arial" w:eastAsia="Arial" w:hAnsi="Arial"/>
          <w:sz w:val="18"/>
          <w:szCs w:val="18"/>
          <w:color w:val="auto"/>
        </w:rPr>
      </w:pPr>
    </w:p>
    <w:p>
      <w:pPr>
        <w:jc w:val="right"/>
        <w:ind w:left="1132" w:right="460" w:hanging="567"/>
        <w:spacing w:after="0" w:line="342" w:lineRule="auto"/>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6"/>
          <w:szCs w:val="16"/>
          <w:color w:val="auto"/>
        </w:rPr>
        <w:t>The Company may treat the registered holder of any share as the absolute owner thereof and shall not be bound to recognise (even when having notice thereof) any equitable, contingent, future or other claim to, or partial interest in, any share on the part of any other person.</w:t>
      </w:r>
    </w:p>
    <w:p>
      <w:pPr>
        <w:spacing w:after="0" w:line="29" w:lineRule="exact"/>
        <w:rPr>
          <w:rFonts w:ascii="Arial" w:cs="Arial" w:eastAsia="Arial" w:hAnsi="Arial"/>
          <w:sz w:val="18"/>
          <w:szCs w:val="18"/>
          <w:color w:val="auto"/>
        </w:rPr>
      </w:pPr>
    </w:p>
    <w:p>
      <w:pPr>
        <w:ind w:left="1132" w:hanging="567"/>
        <w:spacing w:after="0" w:line="302" w:lineRule="auto"/>
        <w:rPr>
          <w:rFonts w:ascii="Arial" w:cs="Arial" w:eastAsia="Arial" w:hAnsi="Arial"/>
          <w:sz w:val="18"/>
          <w:szCs w:val="18"/>
          <w:color w:val="auto"/>
        </w:rPr>
      </w:pPr>
      <w:r>
        <w:rPr>
          <w:rFonts w:ascii="Arial" w:cs="Arial" w:eastAsia="Arial" w:hAnsi="Arial"/>
          <w:sz w:val="18"/>
          <w:szCs w:val="18"/>
          <w:color w:val="auto"/>
        </w:rPr>
        <w:t>6.2</w:t>
      </w:r>
      <w:r>
        <w:rPr>
          <w:rFonts w:ascii="Arial" w:cs="Arial" w:eastAsia="Arial" w:hAnsi="Arial"/>
          <w:sz w:val="16"/>
          <w:szCs w:val="16"/>
          <w:color w:val="auto"/>
        </w:rPr>
        <w:t>Any dividend, interest or other monies payable in cash in respect of shares may be paid by cheque or draft sent through the post directed to the Member at that Member’s address in the Register of Members or, in the case of joint holders, to such address of the holder first named in the Register of Members, or to such person and to such address as the holder or joint holders may in writing direct. If two or more persons are registered as joint holders of any shares any one of such holders can give an effective receipt for any dividend paid in respect of those shares.</w:t>
      </w:r>
    </w:p>
    <w:p>
      <w:pPr>
        <w:spacing w:after="0" w:line="298" w:lineRule="exact"/>
        <w:rPr>
          <w:rFonts w:ascii="Arial" w:cs="Arial" w:eastAsia="Arial" w:hAnsi="Arial"/>
          <w:sz w:val="18"/>
          <w:szCs w:val="18"/>
          <w:color w:val="auto"/>
        </w:rPr>
      </w:pPr>
    </w:p>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Register of Members</w:t>
      </w:r>
    </w:p>
    <w:p>
      <w:pPr>
        <w:spacing w:after="0" w:line="121" w:lineRule="exact"/>
        <w:rPr>
          <w:rFonts w:ascii="Arial" w:cs="Arial" w:eastAsia="Arial" w:hAnsi="Arial"/>
          <w:sz w:val="18"/>
          <w:szCs w:val="18"/>
          <w:color w:val="auto"/>
        </w:rPr>
      </w:pPr>
    </w:p>
    <w:p>
      <w:pPr>
        <w:ind w:left="572"/>
        <w:spacing w:after="0" w:line="297" w:lineRule="auto"/>
        <w:rPr>
          <w:rFonts w:ascii="Arial" w:cs="Arial" w:eastAsia="Arial" w:hAnsi="Arial"/>
          <w:sz w:val="18"/>
          <w:szCs w:val="18"/>
          <w:color w:val="auto"/>
        </w:rPr>
      </w:pPr>
      <w:r>
        <w:rPr>
          <w:rFonts w:ascii="Arial" w:cs="Arial" w:eastAsia="Arial" w:hAnsi="Arial"/>
          <w:sz w:val="16"/>
          <w:szCs w:val="16"/>
          <w:color w:val="auto"/>
        </w:rPr>
        <w:t>The Secretary shall establish and maintain the Register of Members at the Registered Office in the manner prescribed by the Act. Unless the Board otherwise determines, the Register of Members shall be open to inspection in the manner prescribed by the Act between 10.00 a.m. and 12.00 noon on every working day. Unless the Board so determines, no Member or intending Member shall be entitled to have entered in the Register of Members any indication of any trust or any equitable, contingent, future or partial interest in any share or any interest in any fractional part of a share and if any such entry exists or is permitted by the Board it shall not be deemed to abrogate any of the provisions of Bye-law 6.1.</w:t>
      </w:r>
    </w:p>
    <w:p>
      <w:pPr>
        <w:spacing w:after="0" w:line="302" w:lineRule="exact"/>
        <w:rPr>
          <w:rFonts w:ascii="Arial" w:cs="Arial" w:eastAsia="Arial" w:hAnsi="Arial"/>
          <w:sz w:val="18"/>
          <w:szCs w:val="18"/>
          <w:color w:val="auto"/>
        </w:rPr>
      </w:pPr>
    </w:p>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Share certificates</w:t>
      </w:r>
    </w:p>
    <w:p>
      <w:pPr>
        <w:spacing w:after="0" w:line="121"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Subject always to the provisions of Bye-law 9.2:</w:t>
      </w:r>
    </w:p>
    <w:p>
      <w:pPr>
        <w:spacing w:after="0" w:line="130" w:lineRule="exact"/>
        <w:rPr>
          <w:rFonts w:ascii="Arial" w:cs="Arial" w:eastAsia="Arial" w:hAnsi="Arial"/>
          <w:sz w:val="18"/>
          <w:szCs w:val="18"/>
          <w:color w:val="auto"/>
        </w:rPr>
      </w:pPr>
    </w:p>
    <w:p>
      <w:pPr>
        <w:ind w:left="1132" w:right="140" w:hanging="567"/>
        <w:spacing w:after="0" w:line="277" w:lineRule="auto"/>
        <w:rPr>
          <w:rFonts w:ascii="Arial" w:cs="Arial" w:eastAsia="Arial" w:hAnsi="Arial"/>
          <w:sz w:val="18"/>
          <w:szCs w:val="18"/>
          <w:color w:val="auto"/>
        </w:rPr>
      </w:pPr>
      <w:r>
        <w:rPr>
          <w:rFonts w:ascii="Arial" w:cs="Arial" w:eastAsia="Arial" w:hAnsi="Arial"/>
          <w:sz w:val="18"/>
          <w:szCs w:val="18"/>
          <w:color w:val="auto"/>
        </w:rPr>
        <w:t>8.1the preparation, issue and delivery of certificates shall be governed by the Act. In the case of a share held jointly by several persons, delivery of a certificate to one of several joint holders shall be sufficient delivery to all;</w:t>
      </w:r>
    </w:p>
    <w:p>
      <w:pPr>
        <w:spacing w:after="0" w:line="75" w:lineRule="exact"/>
        <w:rPr>
          <w:rFonts w:ascii="Arial" w:cs="Arial" w:eastAsia="Arial" w:hAnsi="Arial"/>
          <w:sz w:val="18"/>
          <w:szCs w:val="18"/>
          <w:color w:val="auto"/>
        </w:rPr>
      </w:pPr>
    </w:p>
    <w:p>
      <w:pPr>
        <w:ind w:left="1132" w:right="360" w:hanging="567"/>
        <w:spacing w:after="0" w:line="277" w:lineRule="auto"/>
        <w:rPr>
          <w:rFonts w:ascii="Arial" w:cs="Arial" w:eastAsia="Arial" w:hAnsi="Arial"/>
          <w:sz w:val="18"/>
          <w:szCs w:val="18"/>
          <w:color w:val="auto"/>
        </w:rPr>
      </w:pPr>
      <w:r>
        <w:rPr>
          <w:rFonts w:ascii="Arial" w:cs="Arial" w:eastAsia="Arial" w:hAnsi="Arial"/>
          <w:sz w:val="18"/>
          <w:szCs w:val="18"/>
          <w:color w:val="auto"/>
        </w:rPr>
        <w:t>8.2the Company shall not be obliged to complete or deliver a share certificate unless specifically called upon to do so by the person to whom such shares have been allotted or transferred; and</w:t>
      </w:r>
    </w:p>
    <w:p>
      <w:pPr>
        <w:spacing w:after="0" w:line="75" w:lineRule="exact"/>
        <w:rPr>
          <w:rFonts w:ascii="Arial" w:cs="Arial" w:eastAsia="Arial" w:hAnsi="Arial"/>
          <w:sz w:val="18"/>
          <w:szCs w:val="18"/>
          <w:color w:val="auto"/>
        </w:rPr>
      </w:pPr>
    </w:p>
    <w:p>
      <w:pPr>
        <w:ind w:left="1132" w:right="200" w:hanging="567"/>
        <w:spacing w:after="0" w:line="277" w:lineRule="auto"/>
        <w:rPr>
          <w:rFonts w:ascii="Arial" w:cs="Arial" w:eastAsia="Arial" w:hAnsi="Arial"/>
          <w:sz w:val="18"/>
          <w:szCs w:val="18"/>
          <w:color w:val="auto"/>
        </w:rPr>
      </w:pPr>
      <w:r>
        <w:rPr>
          <w:rFonts w:ascii="Arial" w:cs="Arial" w:eastAsia="Arial" w:hAnsi="Arial"/>
          <w:sz w:val="18"/>
          <w:szCs w:val="18"/>
          <w:color w:val="auto"/>
        </w:rPr>
        <w:t>8.3if a share certificate shall be proved to the satisfaction of the Board to have been defaced, lost, worn out or destroyed the Board may cause a new certificate to be issued and request an indemnity for the lost certificate if it sees fit.</w:t>
      </w:r>
    </w:p>
    <w:p>
      <w:pPr>
        <w:spacing w:after="0" w:line="315" w:lineRule="exact"/>
        <w:rPr>
          <w:rFonts w:ascii="Arial" w:cs="Arial" w:eastAsia="Arial" w:hAnsi="Arial"/>
          <w:sz w:val="18"/>
          <w:szCs w:val="18"/>
          <w:color w:val="auto"/>
        </w:rPr>
      </w:pPr>
    </w:p>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Uncertificated Shares</w:t>
      </w:r>
    </w:p>
    <w:p>
      <w:pPr>
        <w:spacing w:after="0" w:line="134" w:lineRule="exact"/>
        <w:rPr>
          <w:rFonts w:ascii="Arial" w:cs="Arial" w:eastAsia="Arial" w:hAnsi="Arial"/>
          <w:sz w:val="18"/>
          <w:szCs w:val="18"/>
          <w:color w:val="auto"/>
        </w:rPr>
      </w:pPr>
    </w:p>
    <w:p>
      <w:pPr>
        <w:ind w:left="1132" w:right="100" w:hanging="567"/>
        <w:spacing w:after="0" w:line="273" w:lineRule="auto"/>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7"/>
          <w:szCs w:val="17"/>
          <w:color w:val="auto"/>
        </w:rPr>
        <w:t>If at any time the Company participates or is able to participate in an Appointed Stock Exchange on which the Company’s shares are listed or admitted to trading, the Board may permit shares of any class to be held in uncertificated form and to be transferred by means of a relevant system acceptable to the Appointed Stock Exchange. Conversion of shares held in certificated form into shares held in uncertificated form, and vice versa, may be made in such manner as the Board may in its absolute discretion think fit (subject to the facilities and requirements of the Appointed Stock Exchange). Shares held in uncertificated form shall not constitute a separate class of shares from other shares in that class simply by virtue of such shares being held in uncertificated form.</w:t>
      </w:r>
    </w:p>
    <w:p>
      <w:pPr>
        <w:spacing w:after="0" w:line="83" w:lineRule="exact"/>
        <w:rPr>
          <w:rFonts w:ascii="Arial" w:cs="Arial" w:eastAsia="Arial" w:hAnsi="Arial"/>
          <w:sz w:val="18"/>
          <w:szCs w:val="18"/>
          <w:color w:val="auto"/>
        </w:rPr>
      </w:pPr>
    </w:p>
    <w:p>
      <w:pPr>
        <w:ind w:left="1132" w:right="120" w:hanging="567"/>
        <w:spacing w:after="0" w:line="264" w:lineRule="auto"/>
        <w:rPr>
          <w:rFonts w:ascii="Arial" w:cs="Arial" w:eastAsia="Arial" w:hAnsi="Arial"/>
          <w:sz w:val="18"/>
          <w:szCs w:val="18"/>
          <w:color w:val="auto"/>
        </w:rPr>
      </w:pPr>
      <w:r>
        <w:rPr>
          <w:rFonts w:ascii="Arial" w:cs="Arial" w:eastAsia="Arial" w:hAnsi="Arial"/>
          <w:sz w:val="18"/>
          <w:szCs w:val="18"/>
          <w:color w:val="auto"/>
        </w:rPr>
        <w:t>9.2Unless otherwise determined by the Board and permitted under the rules of the Appointed Stock Exchange, if any, on which the Company’s shares are listed or admitted to trading, no person shall be entitled to receive a certificate in respect of any share for so long as the title to that share is evidenced otherwise than by a certificate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0" w:right="239" w:bottom="1440" w:gutter="0" w:footer="0" w:header="0"/>
        </w:sectPr>
      </w:pPr>
    </w:p>
    <w:bookmarkStart w:id="15" w:name="page16"/>
    <w:bookmarkEnd w:id="15"/>
    <w:p>
      <w:pPr>
        <w:ind w:left="113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for so long as transfers of that share may be made otherwise by written instrument as permitted by the Act. The Board shall have power to implement any arrangements they may, in their absolute discretion, think fit in relation to the evidencing of title to and transfer of an uncertificated share (subject always to the requirements of the Appointed Stock Exchange) and no provision of these Bye-laws shall apply or have effect to the extent that it is any way inconsistent with the holding of shares in uncertificated form or the transfer of title to uncertificated shares by means of a relevant system permitted by the Appointed Stock Exchange.</w:t>
      </w:r>
    </w:p>
    <w:p>
      <w:pPr>
        <w:spacing w:after="0" w:line="94" w:lineRule="exact"/>
        <w:rPr>
          <w:sz w:val="20"/>
          <w:szCs w:val="20"/>
          <w:color w:val="auto"/>
        </w:rPr>
      </w:pPr>
    </w:p>
    <w:p>
      <w:pPr>
        <w:jc w:val="both"/>
        <w:ind w:left="1132" w:hanging="566"/>
        <w:spacing w:after="0" w:line="264" w:lineRule="auto"/>
        <w:tabs>
          <w:tab w:leader="none" w:pos="111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A Member may, in accordance with the Act or the requirements of an Appointed Stock Exchange, apply to the Board to change a share from a certificated share to an uncertificated share or vice versa, and the Board shall prescribe the manner for such conversion in accordance with the facilities and regulations of the Appointed Stock Exchange.</w:t>
      </w:r>
    </w:p>
    <w:p>
      <w:pPr>
        <w:spacing w:after="0" w:line="326" w:lineRule="exact"/>
        <w:rPr>
          <w:sz w:val="20"/>
          <w:szCs w:val="20"/>
          <w:color w:val="auto"/>
        </w:rPr>
      </w:pPr>
    </w:p>
    <w:p>
      <w:pPr>
        <w:ind w:left="572" w:hanging="572"/>
        <w:spacing w:after="0"/>
        <w:tabs>
          <w:tab w:leader="none" w:pos="57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Lien on shares</w:t>
      </w:r>
    </w:p>
    <w:p>
      <w:pPr>
        <w:spacing w:after="0" w:line="134" w:lineRule="exact"/>
        <w:rPr>
          <w:rFonts w:ascii="Arial" w:cs="Arial" w:eastAsia="Arial" w:hAnsi="Arial"/>
          <w:sz w:val="18"/>
          <w:szCs w:val="18"/>
          <w:color w:val="auto"/>
        </w:rPr>
      </w:pPr>
    </w:p>
    <w:p>
      <w:pPr>
        <w:ind w:left="1132" w:right="20" w:hanging="567"/>
        <w:spacing w:after="0" w:line="276" w:lineRule="auto"/>
        <w:rPr>
          <w:rFonts w:ascii="Arial" w:cs="Arial" w:eastAsia="Arial" w:hAnsi="Arial"/>
          <w:sz w:val="18"/>
          <w:szCs w:val="18"/>
          <w:color w:val="auto"/>
        </w:rPr>
      </w:pPr>
      <w:r>
        <w:rPr>
          <w:rFonts w:ascii="Arial" w:cs="Arial" w:eastAsia="Arial" w:hAnsi="Arial"/>
          <w:sz w:val="17"/>
          <w:szCs w:val="17"/>
          <w:color w:val="auto"/>
        </w:rPr>
        <w:t>10.1 The Company shall have a first lien on every share (not being a fully paid share) for all moneys called or payable in respect of such share, and the Company shall also have a first lien on every share (other than a fully paid share) registered in the name of a Member, whether singly or jointly, for all the debts and liabilities, whether actual or contingent or owed singly or jointly with any other person, of that Member to the Company. The Company’s lien on a share shall extend to all dividends payable thereon. The Board may at any time waive any lien that has arisen or declare any share to be wholly or in part exempt from the provisions of this Bye-law.</w:t>
      </w:r>
    </w:p>
    <w:p>
      <w:pPr>
        <w:spacing w:after="0" w:line="77" w:lineRule="exact"/>
        <w:rPr>
          <w:rFonts w:ascii="Arial" w:cs="Arial" w:eastAsia="Arial" w:hAnsi="Arial"/>
          <w:sz w:val="18"/>
          <w:szCs w:val="18"/>
          <w:color w:val="auto"/>
        </w:rPr>
      </w:pPr>
    </w:p>
    <w:p>
      <w:pPr>
        <w:ind w:left="1132" w:right="240" w:hanging="567"/>
        <w:spacing w:after="0" w:line="259" w:lineRule="auto"/>
        <w:rPr>
          <w:rFonts w:ascii="Arial" w:cs="Arial" w:eastAsia="Arial" w:hAnsi="Arial"/>
          <w:sz w:val="18"/>
          <w:szCs w:val="18"/>
          <w:color w:val="auto"/>
        </w:rPr>
      </w:pPr>
      <w:r>
        <w:rPr>
          <w:rFonts w:ascii="Arial" w:cs="Arial" w:eastAsia="Arial" w:hAnsi="Arial"/>
          <w:sz w:val="18"/>
          <w:szCs w:val="18"/>
          <w:color w:val="auto"/>
        </w:rPr>
        <w:t>10.2 The Company may sell, in such manner as the Board may think fit, any share on which the Company has a lien but no sale shall be made unless some sum in respect of which the lien exists is presently payable nor until the expiration of fourteen days after a notice in writing, stating and demanding payment of the sum presently payable and giving notice of the intention to sell in default of such payment, has been served on the holder for the time being of the share.</w:t>
      </w:r>
    </w:p>
    <w:p>
      <w:pPr>
        <w:spacing w:after="0" w:line="92" w:lineRule="exact"/>
        <w:rPr>
          <w:rFonts w:ascii="Arial" w:cs="Arial" w:eastAsia="Arial" w:hAnsi="Arial"/>
          <w:sz w:val="18"/>
          <w:szCs w:val="18"/>
          <w:color w:val="auto"/>
        </w:rPr>
      </w:pPr>
    </w:p>
    <w:p>
      <w:pPr>
        <w:ind w:left="1132" w:hanging="567"/>
        <w:spacing w:after="0" w:line="273" w:lineRule="auto"/>
        <w:rPr>
          <w:rFonts w:ascii="Arial" w:cs="Arial" w:eastAsia="Arial" w:hAnsi="Arial"/>
          <w:sz w:val="18"/>
          <w:szCs w:val="18"/>
          <w:color w:val="auto"/>
        </w:rPr>
      </w:pPr>
      <w:r>
        <w:rPr>
          <w:rFonts w:ascii="Arial" w:cs="Arial" w:eastAsia="Arial" w:hAnsi="Arial"/>
          <w:sz w:val="17"/>
          <w:szCs w:val="17"/>
          <w:color w:val="auto"/>
        </w:rPr>
        <w:t>10.3 The net proceeds of sale by the Company of any shares on which it has a lien shall be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holder of the share immediately before such sale. For giving effect to any such sale the Board may authorise some person to transfer the share sold to the purchaser thereof. The purchaser shall be registered as the holder of the share and he shall not be bound to see to the application of the purchase money, nor shall his title to the share be affected by any irregularity or invalidity in the proceedings relating to the sale.</w:t>
      </w:r>
    </w:p>
    <w:p>
      <w:pPr>
        <w:spacing w:after="0" w:line="323" w:lineRule="exact"/>
        <w:rPr>
          <w:rFonts w:ascii="Arial" w:cs="Arial" w:eastAsia="Arial" w:hAnsi="Arial"/>
          <w:sz w:val="18"/>
          <w:szCs w:val="18"/>
          <w:color w:val="auto"/>
        </w:rPr>
      </w:pPr>
    </w:p>
    <w:p>
      <w:pPr>
        <w:ind w:left="572" w:hanging="572"/>
        <w:spacing w:after="0"/>
        <w:tabs>
          <w:tab w:leader="none" w:pos="57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Call on shares</w:t>
      </w:r>
    </w:p>
    <w:p>
      <w:pPr>
        <w:spacing w:after="0" w:line="134" w:lineRule="exact"/>
        <w:rPr>
          <w:rFonts w:ascii="Arial" w:cs="Arial" w:eastAsia="Arial" w:hAnsi="Arial"/>
          <w:sz w:val="18"/>
          <w:szCs w:val="18"/>
          <w:color w:val="auto"/>
        </w:rPr>
      </w:pPr>
    </w:p>
    <w:p>
      <w:pPr>
        <w:ind w:left="1132" w:right="40" w:hanging="567"/>
        <w:spacing w:after="0" w:line="273" w:lineRule="auto"/>
        <w:rPr>
          <w:rFonts w:ascii="Arial" w:cs="Arial" w:eastAsia="Arial" w:hAnsi="Arial"/>
          <w:sz w:val="18"/>
          <w:szCs w:val="18"/>
          <w:color w:val="auto"/>
        </w:rPr>
      </w:pPr>
      <w:r>
        <w:rPr>
          <w:rFonts w:ascii="Arial" w:cs="Arial" w:eastAsia="Arial" w:hAnsi="Arial"/>
          <w:sz w:val="17"/>
          <w:szCs w:val="17"/>
          <w:color w:val="auto"/>
        </w:rPr>
        <w:t>11.1 The Board may from time to time make calls upon a Member (for the avoidance of doubt excluding the Company in respect of any nil paid or partly paid shares held by the Company as Treasury Shares) in respect of any moneys (whether in respect of nominal value or premium) unpaid on the shares allotted to or held by that Member and if a call is not paid on or before the day appointed for payment, the Member may at the discretion of the Board be liable to pay to the Company interest on the unpaid amount of any such call at such rate as the Board may determine, from the date on which that call was payable to the actual date of payment. The Board may differentiate between the holders as to the amount of calls to be paid and the times of payment of such calls.</w:t>
      </w:r>
    </w:p>
    <w:p>
      <w:pPr>
        <w:spacing w:after="0" w:line="83"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7"/>
          <w:szCs w:val="17"/>
          <w:color w:val="auto"/>
        </w:rPr>
        <w:t>11.2   The joint holders of a share shall be jointly and severally liable to pay all calls and any interest, costs and expenses in respect thereof.</w:t>
      </w:r>
    </w:p>
    <w:p>
      <w:pPr>
        <w:spacing w:after="0" w:line="14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11.3   A call may be revoked or postponed as the Board may determine.</w:t>
      </w:r>
    </w:p>
    <w:p>
      <w:pPr>
        <w:spacing w:after="0" w:line="130" w:lineRule="exact"/>
        <w:rPr>
          <w:rFonts w:ascii="Arial" w:cs="Arial" w:eastAsia="Arial" w:hAnsi="Arial"/>
          <w:sz w:val="18"/>
          <w:szCs w:val="18"/>
          <w:color w:val="auto"/>
        </w:rPr>
      </w:pPr>
    </w:p>
    <w:p>
      <w:pPr>
        <w:ind w:left="1132" w:right="80" w:hanging="567"/>
        <w:spacing w:after="0" w:line="277" w:lineRule="auto"/>
        <w:rPr>
          <w:rFonts w:ascii="Arial" w:cs="Arial" w:eastAsia="Arial" w:hAnsi="Arial"/>
          <w:sz w:val="18"/>
          <w:szCs w:val="18"/>
          <w:color w:val="auto"/>
        </w:rPr>
      </w:pPr>
      <w:r>
        <w:rPr>
          <w:rFonts w:ascii="Arial" w:cs="Arial" w:eastAsia="Arial" w:hAnsi="Arial"/>
          <w:sz w:val="18"/>
          <w:szCs w:val="18"/>
          <w:color w:val="auto"/>
        </w:rPr>
        <w:t>11.4 The Company may accept from any Member the whole or a part of the amount remaining unpaid on any shares held by him, although no part of that amount has been called up.</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16" w:name="page17"/>
    <w:bookmarkEnd w:id="16"/>
    <w:p>
      <w:pPr>
        <w:ind w:left="572" w:hanging="572"/>
        <w:spacing w:after="0"/>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Forfeiture of shares</w:t>
      </w:r>
    </w:p>
    <w:p>
      <w:pPr>
        <w:spacing w:after="0" w:line="134" w:lineRule="exact"/>
        <w:rPr>
          <w:rFonts w:ascii="Arial" w:cs="Arial" w:eastAsia="Arial" w:hAnsi="Arial"/>
          <w:sz w:val="18"/>
          <w:szCs w:val="18"/>
          <w:color w:val="auto"/>
        </w:rPr>
      </w:pPr>
    </w:p>
    <w:p>
      <w:pPr>
        <w:ind w:left="1132" w:hanging="567"/>
        <w:spacing w:after="0" w:line="264" w:lineRule="auto"/>
        <w:rPr>
          <w:rFonts w:ascii="Arial" w:cs="Arial" w:eastAsia="Arial" w:hAnsi="Arial"/>
          <w:sz w:val="18"/>
          <w:szCs w:val="18"/>
          <w:color w:val="auto"/>
        </w:rPr>
      </w:pPr>
      <w:r>
        <w:rPr>
          <w:rFonts w:ascii="Arial" w:cs="Arial" w:eastAsia="Arial" w:hAnsi="Arial"/>
          <w:sz w:val="18"/>
          <w:szCs w:val="18"/>
          <w:color w:val="auto"/>
        </w:rPr>
        <w:t>12.1 If a Member fails to pay any call or instalment of a call on the day appointed for payment thereof, the Board may at any time thereafter during such time as any part of the call or instalment remains unpaid serve a notice on him requiring payment of so much of the call or instalment as is unpaid, together with any interest which may have accrued.</w:t>
      </w:r>
    </w:p>
    <w:p>
      <w:pPr>
        <w:spacing w:after="0" w:line="86" w:lineRule="exact"/>
        <w:rPr>
          <w:rFonts w:ascii="Arial" w:cs="Arial" w:eastAsia="Arial" w:hAnsi="Arial"/>
          <w:sz w:val="18"/>
          <w:szCs w:val="18"/>
          <w:color w:val="auto"/>
        </w:rPr>
      </w:pPr>
    </w:p>
    <w:p>
      <w:pPr>
        <w:ind w:left="1132" w:right="160" w:hanging="567"/>
        <w:spacing w:after="0" w:line="279" w:lineRule="auto"/>
        <w:rPr>
          <w:rFonts w:ascii="Arial" w:cs="Arial" w:eastAsia="Arial" w:hAnsi="Arial"/>
          <w:sz w:val="18"/>
          <w:szCs w:val="18"/>
          <w:color w:val="auto"/>
        </w:rPr>
      </w:pPr>
      <w:r>
        <w:rPr>
          <w:rFonts w:ascii="Arial" w:cs="Arial" w:eastAsia="Arial" w:hAnsi="Arial"/>
          <w:sz w:val="17"/>
          <w:szCs w:val="17"/>
          <w:color w:val="auto"/>
        </w:rPr>
        <w:t>12.2 The notice shall name a further day (not being less than 14 days from the date of the notice) on or before which, and the place where, the payment is to be made and shall state that, if the payment is not paid on or before the day and at the place appointed, the shares in respect of which such call is payable will be liable to be forfeited. The Board may accept the surrender of any share liable to be forfeited and, in such case, references in these Bye-laws to forfeiture shall include surrender.</w:t>
      </w:r>
    </w:p>
    <w:p>
      <w:pPr>
        <w:spacing w:after="0" w:line="76" w:lineRule="exact"/>
        <w:rPr>
          <w:rFonts w:ascii="Arial" w:cs="Arial" w:eastAsia="Arial" w:hAnsi="Arial"/>
          <w:sz w:val="18"/>
          <w:szCs w:val="18"/>
          <w:color w:val="auto"/>
        </w:rPr>
      </w:pPr>
    </w:p>
    <w:p>
      <w:pPr>
        <w:ind w:left="1132" w:right="140" w:hanging="567"/>
        <w:spacing w:after="0" w:line="302" w:lineRule="auto"/>
        <w:rPr>
          <w:rFonts w:ascii="Arial" w:cs="Arial" w:eastAsia="Arial" w:hAnsi="Arial"/>
          <w:sz w:val="18"/>
          <w:szCs w:val="18"/>
          <w:color w:val="auto"/>
        </w:rPr>
      </w:pPr>
      <w:r>
        <w:rPr>
          <w:rFonts w:ascii="Arial" w:cs="Arial" w:eastAsia="Arial" w:hAnsi="Arial"/>
          <w:sz w:val="16"/>
          <w:szCs w:val="16"/>
          <w:color w:val="auto"/>
        </w:rPr>
        <w:t>12.3 If the requirements of any such notice are not complied with, any such share in respect of which such notice has been given may at any time thereafter before payment of such call or instalment and interest due in respect thereof has been made, be forfeited by a resolution of the Board to that effect whereupon such share shall become the property of the Company and may be disposed of as the Board shall determine. Any forfeiture shall include all dividends declared in respect of the forfeited shares and not actually paid before the forfeiture.</w:t>
      </w:r>
    </w:p>
    <w:p>
      <w:pPr>
        <w:spacing w:after="0" w:line="59" w:lineRule="exact"/>
        <w:rPr>
          <w:rFonts w:ascii="Arial" w:cs="Arial" w:eastAsia="Arial" w:hAnsi="Arial"/>
          <w:sz w:val="18"/>
          <w:szCs w:val="18"/>
          <w:color w:val="auto"/>
        </w:rPr>
      </w:pPr>
    </w:p>
    <w:p>
      <w:pPr>
        <w:ind w:left="1132" w:right="360" w:hanging="567"/>
        <w:spacing w:after="0" w:line="286" w:lineRule="auto"/>
        <w:rPr>
          <w:rFonts w:ascii="Arial" w:cs="Arial" w:eastAsia="Arial" w:hAnsi="Arial"/>
          <w:sz w:val="18"/>
          <w:szCs w:val="18"/>
          <w:color w:val="auto"/>
        </w:rPr>
      </w:pPr>
      <w:r>
        <w:rPr>
          <w:rFonts w:ascii="Arial" w:cs="Arial" w:eastAsia="Arial" w:hAnsi="Arial"/>
          <w:sz w:val="17"/>
          <w:szCs w:val="17"/>
          <w:color w:val="auto"/>
        </w:rPr>
        <w:t>12.4 A Member whose shares have been forfeited shall cease to be a Member in respect of the forfeited shares but shall, notwithstanding the forfeiture, remain liable to pay to the Company all calls owing on such shares at the time of forfeiture and all interest due thereon and the Company may enforce payment without being obliged to make any allowance for the value of the shares forfeited.</w:t>
      </w:r>
    </w:p>
    <w:p>
      <w:pPr>
        <w:spacing w:after="0" w:line="37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TRANSFER OF SHARES</w:t>
      </w:r>
    </w:p>
    <w:p>
      <w:pPr>
        <w:spacing w:after="0" w:line="252" w:lineRule="exact"/>
        <w:rPr>
          <w:sz w:val="20"/>
          <w:szCs w:val="20"/>
          <w:color w:val="auto"/>
        </w:rPr>
      </w:pPr>
    </w:p>
    <w:p>
      <w:pPr>
        <w:ind w:left="572" w:hanging="572"/>
        <w:spacing w:after="0"/>
        <w:tabs>
          <w:tab w:leader="none" w:pos="572"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Transfer of certificated shares</w:t>
      </w:r>
    </w:p>
    <w:p>
      <w:pPr>
        <w:spacing w:after="0" w:line="121" w:lineRule="exact"/>
        <w:rPr>
          <w:rFonts w:ascii="Arial" w:cs="Arial" w:eastAsia="Arial" w:hAnsi="Arial"/>
          <w:sz w:val="18"/>
          <w:szCs w:val="18"/>
          <w:color w:val="auto"/>
        </w:rPr>
      </w:pPr>
    </w:p>
    <w:p>
      <w:pPr>
        <w:ind w:left="572" w:right="380"/>
        <w:spacing w:after="0" w:line="277" w:lineRule="auto"/>
        <w:rPr>
          <w:rFonts w:ascii="Arial" w:cs="Arial" w:eastAsia="Arial" w:hAnsi="Arial"/>
          <w:sz w:val="18"/>
          <w:szCs w:val="18"/>
          <w:color w:val="auto"/>
        </w:rPr>
      </w:pPr>
      <w:r>
        <w:rPr>
          <w:rFonts w:ascii="Arial" w:cs="Arial" w:eastAsia="Arial" w:hAnsi="Arial"/>
          <w:sz w:val="18"/>
          <w:szCs w:val="18"/>
          <w:color w:val="auto"/>
        </w:rPr>
        <w:t>Subject to the Act, to any applicable restrictions in these Bye-laws and the prior consent of the Board, any Member may transfer all or any of his shares by an instrument of transfer in the usual common form or in any other form which the Board may approve.</w:t>
      </w:r>
    </w:p>
    <w:p>
      <w:pPr>
        <w:spacing w:after="0" w:line="315" w:lineRule="exact"/>
        <w:rPr>
          <w:rFonts w:ascii="Arial" w:cs="Arial" w:eastAsia="Arial" w:hAnsi="Arial"/>
          <w:sz w:val="18"/>
          <w:szCs w:val="18"/>
          <w:color w:val="auto"/>
        </w:rPr>
      </w:pPr>
    </w:p>
    <w:p>
      <w:pPr>
        <w:ind w:left="572" w:hanging="572"/>
        <w:spacing w:after="0"/>
        <w:tabs>
          <w:tab w:leader="none" w:pos="572"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Transfer of uncertificated shares</w:t>
      </w:r>
    </w:p>
    <w:p>
      <w:pPr>
        <w:spacing w:after="0" w:line="121" w:lineRule="exact"/>
        <w:rPr>
          <w:rFonts w:ascii="Arial" w:cs="Arial" w:eastAsia="Arial" w:hAnsi="Arial"/>
          <w:sz w:val="18"/>
          <w:szCs w:val="18"/>
          <w:color w:val="auto"/>
        </w:rPr>
      </w:pPr>
    </w:p>
    <w:p>
      <w:pPr>
        <w:ind w:left="572" w:right="100"/>
        <w:spacing w:after="0" w:line="259" w:lineRule="auto"/>
        <w:rPr>
          <w:rFonts w:ascii="Arial" w:cs="Arial" w:eastAsia="Arial" w:hAnsi="Arial"/>
          <w:sz w:val="18"/>
          <w:szCs w:val="18"/>
          <w:color w:val="auto"/>
        </w:rPr>
      </w:pPr>
      <w:r>
        <w:rPr>
          <w:rFonts w:ascii="Arial" w:cs="Arial" w:eastAsia="Arial" w:hAnsi="Arial"/>
          <w:sz w:val="18"/>
          <w:szCs w:val="18"/>
          <w:color w:val="auto"/>
        </w:rPr>
        <w:t>Where shares are held in uncertificated form, the Board may accept any instrument of transfer, transfer document or other method of electronic transfer permitted by the Appointed Stock Exchange to effect transfer of title to such shares held in uncertificated form, provided always that the Board shall cause to the Register of Members to be updated and maintained in accordance with the provisions of the Act and the requirements of the Appointed Stock Exchange.</w:t>
      </w:r>
    </w:p>
    <w:p>
      <w:pPr>
        <w:spacing w:after="0" w:line="331" w:lineRule="exact"/>
        <w:rPr>
          <w:rFonts w:ascii="Arial" w:cs="Arial" w:eastAsia="Arial" w:hAnsi="Arial"/>
          <w:sz w:val="18"/>
          <w:szCs w:val="18"/>
          <w:color w:val="auto"/>
        </w:rPr>
      </w:pPr>
    </w:p>
    <w:p>
      <w:pPr>
        <w:ind w:left="572" w:hanging="572"/>
        <w:spacing w:after="0"/>
        <w:tabs>
          <w:tab w:leader="none" w:pos="572"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Instrument of transfer</w:t>
      </w:r>
    </w:p>
    <w:p>
      <w:pPr>
        <w:spacing w:after="0" w:line="121" w:lineRule="exact"/>
        <w:rPr>
          <w:rFonts w:ascii="Arial" w:cs="Arial" w:eastAsia="Arial" w:hAnsi="Arial"/>
          <w:sz w:val="18"/>
          <w:szCs w:val="18"/>
          <w:color w:val="auto"/>
        </w:rPr>
      </w:pPr>
    </w:p>
    <w:p>
      <w:pPr>
        <w:ind w:left="572" w:right="100"/>
        <w:spacing w:after="0" w:line="259" w:lineRule="auto"/>
        <w:rPr>
          <w:rFonts w:ascii="Arial" w:cs="Arial" w:eastAsia="Arial" w:hAnsi="Arial"/>
          <w:sz w:val="18"/>
          <w:szCs w:val="18"/>
          <w:color w:val="auto"/>
        </w:rPr>
      </w:pPr>
      <w:r>
        <w:rPr>
          <w:rFonts w:ascii="Arial" w:cs="Arial" w:eastAsia="Arial" w:hAnsi="Arial"/>
          <w:sz w:val="18"/>
          <w:szCs w:val="18"/>
          <w:color w:val="auto"/>
        </w:rPr>
        <w:t>The instrument of transfer of a share held in certificated form shall be signed by or on behalf of the transferor alone except where the shares the subject of the instrument of transfer have not been fully paid up in which case the instrument of transfer shall be signed by the transferor and the transferee, and the transferor shall be deemed to remain the holder of the share until the name of the transferee is entered in the Register of Members in respect thereof. All instruments of transfer when registered may be retained by the Company.</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70" w:right="279" w:bottom="1440" w:gutter="0" w:footer="0" w:header="0"/>
        </w:sectPr>
      </w:pPr>
    </w:p>
    <w:bookmarkStart w:id="17" w:name="page18"/>
    <w:bookmarkEnd w:id="17"/>
    <w:p>
      <w:pPr>
        <w:ind w:left="572" w:hanging="572"/>
        <w:spacing w:after="0"/>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Restrictions on transfer</w:t>
      </w:r>
    </w:p>
    <w:p>
      <w:pPr>
        <w:spacing w:after="0" w:line="134" w:lineRule="exact"/>
        <w:rPr>
          <w:rFonts w:ascii="Arial" w:cs="Arial" w:eastAsia="Arial" w:hAnsi="Arial"/>
          <w:sz w:val="18"/>
          <w:szCs w:val="18"/>
          <w:color w:val="auto"/>
        </w:rPr>
      </w:pPr>
    </w:p>
    <w:p>
      <w:pPr>
        <w:ind w:left="1132" w:right="20" w:hanging="567"/>
        <w:spacing w:after="0" w:line="264" w:lineRule="auto"/>
        <w:rPr>
          <w:rFonts w:ascii="Arial" w:cs="Arial" w:eastAsia="Arial" w:hAnsi="Arial"/>
          <w:sz w:val="18"/>
          <w:szCs w:val="18"/>
          <w:color w:val="auto"/>
        </w:rPr>
      </w:pPr>
      <w:r>
        <w:rPr>
          <w:rFonts w:ascii="Arial" w:cs="Arial" w:eastAsia="Arial" w:hAnsi="Arial"/>
          <w:sz w:val="18"/>
          <w:szCs w:val="18"/>
          <w:color w:val="auto"/>
        </w:rPr>
        <w:t>16.1 The Board may, in its absolute discretion and without assigning any reason therefor refuse to register the transfer of a share held in certificated form. The Board shall refuse to register any transfer unless all applicable consents, authorisations and permissions of any governmental agency or body in Bermuda have been obtained.</w:t>
      </w:r>
    </w:p>
    <w:p>
      <w:pPr>
        <w:spacing w:after="0" w:line="86" w:lineRule="exact"/>
        <w:rPr>
          <w:rFonts w:ascii="Arial" w:cs="Arial" w:eastAsia="Arial" w:hAnsi="Arial"/>
          <w:sz w:val="18"/>
          <w:szCs w:val="18"/>
          <w:color w:val="auto"/>
        </w:rPr>
      </w:pPr>
    </w:p>
    <w:p>
      <w:pPr>
        <w:ind w:left="1132" w:right="260" w:hanging="567"/>
        <w:spacing w:after="0" w:line="277" w:lineRule="auto"/>
        <w:rPr>
          <w:rFonts w:ascii="Arial" w:cs="Arial" w:eastAsia="Arial" w:hAnsi="Arial"/>
          <w:sz w:val="18"/>
          <w:szCs w:val="18"/>
          <w:color w:val="auto"/>
        </w:rPr>
      </w:pPr>
      <w:r>
        <w:rPr>
          <w:rFonts w:ascii="Arial" w:cs="Arial" w:eastAsia="Arial" w:hAnsi="Arial"/>
          <w:sz w:val="18"/>
          <w:szCs w:val="18"/>
          <w:color w:val="auto"/>
        </w:rPr>
        <w:t>16.2 Subject to any directions of the Board from time to time in force, the Secretary may exercise the powers and discretions of the Board under Bye-law 16.1.</w:t>
      </w:r>
    </w:p>
    <w:p>
      <w:pPr>
        <w:spacing w:after="0" w:line="75" w:lineRule="exact"/>
        <w:rPr>
          <w:rFonts w:ascii="Arial" w:cs="Arial" w:eastAsia="Arial" w:hAnsi="Arial"/>
          <w:sz w:val="18"/>
          <w:szCs w:val="18"/>
          <w:color w:val="auto"/>
        </w:rPr>
      </w:pPr>
    </w:p>
    <w:p>
      <w:pPr>
        <w:ind w:left="1132" w:right="60" w:hanging="567"/>
        <w:spacing w:after="0" w:line="277" w:lineRule="auto"/>
        <w:rPr>
          <w:rFonts w:ascii="Arial" w:cs="Arial" w:eastAsia="Arial" w:hAnsi="Arial"/>
          <w:sz w:val="18"/>
          <w:szCs w:val="18"/>
          <w:color w:val="auto"/>
        </w:rPr>
      </w:pPr>
      <w:r>
        <w:rPr>
          <w:rFonts w:ascii="Arial" w:cs="Arial" w:eastAsia="Arial" w:hAnsi="Arial"/>
          <w:sz w:val="18"/>
          <w:szCs w:val="18"/>
          <w:color w:val="auto"/>
        </w:rPr>
        <w:t>16.3 If the Board refuses to register a transfer of a certificated share the Secretary shall, within one month after the date on which the instrument of transfer was lodged, send to the transferor and the transferee notice of such refusal.</w:t>
      </w:r>
    </w:p>
    <w:p>
      <w:pPr>
        <w:spacing w:after="0" w:line="315" w:lineRule="exact"/>
        <w:rPr>
          <w:rFonts w:ascii="Arial" w:cs="Arial" w:eastAsia="Arial" w:hAnsi="Arial"/>
          <w:sz w:val="18"/>
          <w:szCs w:val="18"/>
          <w:color w:val="auto"/>
        </w:rPr>
      </w:pPr>
    </w:p>
    <w:p>
      <w:pPr>
        <w:ind w:left="572" w:hanging="572"/>
        <w:spacing w:after="0"/>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Transfers by joint holders</w:t>
      </w:r>
    </w:p>
    <w:p>
      <w:pPr>
        <w:spacing w:after="0" w:line="121" w:lineRule="exact"/>
        <w:rPr>
          <w:rFonts w:ascii="Arial" w:cs="Arial" w:eastAsia="Arial" w:hAnsi="Arial"/>
          <w:sz w:val="18"/>
          <w:szCs w:val="18"/>
          <w:color w:val="auto"/>
        </w:rPr>
      </w:pPr>
    </w:p>
    <w:p>
      <w:pPr>
        <w:ind w:left="572" w:right="340"/>
        <w:spacing w:after="0" w:line="342" w:lineRule="auto"/>
        <w:rPr>
          <w:rFonts w:ascii="Arial" w:cs="Arial" w:eastAsia="Arial" w:hAnsi="Arial"/>
          <w:sz w:val="18"/>
          <w:szCs w:val="18"/>
          <w:color w:val="auto"/>
        </w:rPr>
      </w:pPr>
      <w:r>
        <w:rPr>
          <w:rFonts w:ascii="Arial" w:cs="Arial" w:eastAsia="Arial" w:hAnsi="Arial"/>
          <w:sz w:val="16"/>
          <w:szCs w:val="16"/>
          <w:color w:val="auto"/>
        </w:rPr>
        <w:t>The joint holders of any share may transfer that share to one or more of those joint holders, and the surviving holder or holders of any share previously held by them jointly with a deceased Member may transfer any such share to the executors or administrators of that deceased Member.</w:t>
      </w:r>
    </w:p>
    <w:p>
      <w:pPr>
        <w:spacing w:after="0" w:line="33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TRANSMISSION OF SHARES</w:t>
      </w:r>
    </w:p>
    <w:p>
      <w:pPr>
        <w:spacing w:after="0" w:line="252" w:lineRule="exact"/>
        <w:rPr>
          <w:sz w:val="20"/>
          <w:szCs w:val="20"/>
          <w:color w:val="auto"/>
        </w:rPr>
      </w:pPr>
    </w:p>
    <w:p>
      <w:pPr>
        <w:ind w:left="572" w:hanging="572"/>
        <w:spacing w:after="0"/>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Representative of deceased Member</w:t>
      </w:r>
    </w:p>
    <w:p>
      <w:pPr>
        <w:spacing w:after="0" w:line="121" w:lineRule="exact"/>
        <w:rPr>
          <w:rFonts w:ascii="Arial" w:cs="Arial" w:eastAsia="Arial" w:hAnsi="Arial"/>
          <w:sz w:val="18"/>
          <w:szCs w:val="18"/>
          <w:color w:val="auto"/>
        </w:rPr>
      </w:pPr>
    </w:p>
    <w:p>
      <w:pPr>
        <w:ind w:left="572"/>
        <w:spacing w:after="0" w:line="255" w:lineRule="auto"/>
        <w:rPr>
          <w:rFonts w:ascii="Arial" w:cs="Arial" w:eastAsia="Arial" w:hAnsi="Arial"/>
          <w:sz w:val="18"/>
          <w:szCs w:val="18"/>
          <w:color w:val="auto"/>
        </w:rPr>
      </w:pPr>
      <w:r>
        <w:rPr>
          <w:rFonts w:ascii="Arial" w:cs="Arial" w:eastAsia="Arial" w:hAnsi="Arial"/>
          <w:sz w:val="18"/>
          <w:szCs w:val="18"/>
          <w:color w:val="auto"/>
        </w:rPr>
        <w:t>In the case of the death of a Member, the survivor or survivors, where the deceased Member was a joint holder, and the legal personal representatives of the deceased Member, where he was sole holder, shall be the only persons recognised by the Company as having any title to his shares. Nothing contained in these Bye-laws shall release the estate of a deceased holder (whether sole or joint) from any liability in respect of any share held by him solely or jointly with other persons. Subject to Section 52 of the Act, for the purpose of this Bye-law, legal personal representative means the executor or administrator of a deceased Member or such other person as the Board may in its absolute discretion determine to be the person properly authorised to deal with the shares of a deceased Member.</w:t>
      </w:r>
    </w:p>
    <w:p>
      <w:pPr>
        <w:spacing w:after="0" w:line="337" w:lineRule="exact"/>
        <w:rPr>
          <w:rFonts w:ascii="Arial" w:cs="Arial" w:eastAsia="Arial" w:hAnsi="Arial"/>
          <w:sz w:val="18"/>
          <w:szCs w:val="18"/>
          <w:color w:val="auto"/>
        </w:rPr>
      </w:pPr>
    </w:p>
    <w:p>
      <w:pPr>
        <w:ind w:left="572" w:hanging="572"/>
        <w:spacing w:after="0"/>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Registration on death or bankruptcy</w:t>
      </w:r>
    </w:p>
    <w:p>
      <w:pPr>
        <w:spacing w:after="0" w:line="134" w:lineRule="exact"/>
        <w:rPr>
          <w:rFonts w:ascii="Arial" w:cs="Arial" w:eastAsia="Arial" w:hAnsi="Arial"/>
          <w:sz w:val="18"/>
          <w:szCs w:val="18"/>
          <w:color w:val="auto"/>
        </w:rPr>
      </w:pPr>
    </w:p>
    <w:p>
      <w:pPr>
        <w:ind w:left="1132" w:right="160" w:hanging="567"/>
        <w:spacing w:after="0" w:line="271" w:lineRule="auto"/>
        <w:rPr>
          <w:rFonts w:ascii="Arial" w:cs="Arial" w:eastAsia="Arial" w:hAnsi="Arial"/>
          <w:sz w:val="18"/>
          <w:szCs w:val="18"/>
          <w:color w:val="auto"/>
        </w:rPr>
      </w:pPr>
      <w:r>
        <w:rPr>
          <w:rFonts w:ascii="Arial" w:cs="Arial" w:eastAsia="Arial" w:hAnsi="Arial"/>
          <w:sz w:val="17"/>
          <w:szCs w:val="17"/>
          <w:color w:val="auto"/>
        </w:rPr>
        <w:t>19.1 Any person becoming entitled to a share on the death or bankruptcy of a Member may be registered as a Member on such evidence as the Board may deem sufficient or may elect to have some person nominated by him registered as the transferee thereof. If the person so entitled elects to be registered himself, he shall deliver to the Company a notice in writing to that effect signed by him. If he elects to have his nominee registered, he shall execute in favour of his nominee an instrument of transfer of such share. On presentation of the notice or instrument of transfer (as the case may be) to the Board together with such evidence as the Board may require to prove the title of the person so entitled, the person so entitled or the transferee (as the case may be) shall be registered as a Member but the Board shall, in either case, have the same right to decline or suspend registration as it would have had in the case of a transfer of the share by that Member before his death or bankruptcy (as the case may be).</w:t>
      </w:r>
    </w:p>
    <w:p>
      <w:pPr>
        <w:spacing w:after="0" w:line="84" w:lineRule="exact"/>
        <w:rPr>
          <w:rFonts w:ascii="Arial" w:cs="Arial" w:eastAsia="Arial" w:hAnsi="Arial"/>
          <w:sz w:val="18"/>
          <w:szCs w:val="18"/>
          <w:color w:val="auto"/>
        </w:rPr>
      </w:pPr>
    </w:p>
    <w:p>
      <w:pPr>
        <w:ind w:left="1132" w:right="260" w:hanging="567"/>
        <w:spacing w:after="0" w:line="277" w:lineRule="auto"/>
        <w:rPr>
          <w:rFonts w:ascii="Arial" w:cs="Arial" w:eastAsia="Arial" w:hAnsi="Arial"/>
          <w:sz w:val="18"/>
          <w:szCs w:val="18"/>
          <w:color w:val="auto"/>
        </w:rPr>
      </w:pPr>
      <w:r>
        <w:rPr>
          <w:rFonts w:ascii="Arial" w:cs="Arial" w:eastAsia="Arial" w:hAnsi="Arial"/>
          <w:sz w:val="18"/>
          <w:szCs w:val="18"/>
          <w:color w:val="auto"/>
        </w:rPr>
        <w:t>19.2 Subject to any directions of the Board from time to time in force, the Secretary may exercise the powers and discretions of the Board under Bye-law 19.1.</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GENERAL MEETINGS</w:t>
      </w:r>
    </w:p>
    <w:p>
      <w:pPr>
        <w:spacing w:after="0" w:line="252" w:lineRule="exact"/>
        <w:rPr>
          <w:sz w:val="20"/>
          <w:szCs w:val="20"/>
          <w:color w:val="auto"/>
        </w:rPr>
      </w:pPr>
    </w:p>
    <w:p>
      <w:pPr>
        <w:ind w:left="572" w:hanging="572"/>
        <w:spacing w:after="0"/>
        <w:tabs>
          <w:tab w:leader="none" w:pos="57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Annual general meetings</w:t>
      </w:r>
    </w:p>
    <w:p>
      <w:pPr>
        <w:spacing w:after="0" w:line="134" w:lineRule="exact"/>
        <w:rPr>
          <w:rFonts w:ascii="Arial" w:cs="Arial" w:eastAsia="Arial" w:hAnsi="Arial"/>
          <w:sz w:val="18"/>
          <w:szCs w:val="18"/>
          <w:color w:val="auto"/>
        </w:rPr>
      </w:pPr>
    </w:p>
    <w:p>
      <w:pPr>
        <w:ind w:left="1132" w:right="340" w:hanging="567"/>
        <w:spacing w:after="0" w:line="264" w:lineRule="auto"/>
        <w:rPr>
          <w:rFonts w:ascii="Arial" w:cs="Arial" w:eastAsia="Arial" w:hAnsi="Arial"/>
          <w:sz w:val="18"/>
          <w:szCs w:val="18"/>
          <w:color w:val="auto"/>
        </w:rPr>
      </w:pPr>
      <w:r>
        <w:rPr>
          <w:rFonts w:ascii="Arial" w:cs="Arial" w:eastAsia="Arial" w:hAnsi="Arial"/>
          <w:sz w:val="18"/>
          <w:szCs w:val="18"/>
          <w:color w:val="auto"/>
        </w:rPr>
        <w:t>20.1 Save where an election has been made in accordance with Bye-law 20.2, the annual general meeting of the Company shall be held in each calendar year in accordance with the requirements of the Act at such time and place as the Board shall appoint. At least 5 days notice (excluding the day on which it is served or deemed to be served and the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0" w:right="239" w:bottom="1440" w:gutter="0" w:footer="0" w:header="0"/>
        </w:sectPr>
      </w:pPr>
    </w:p>
    <w:bookmarkStart w:id="18" w:name="page19"/>
    <w:bookmarkEnd w:id="18"/>
    <w:p>
      <w:pPr>
        <w:ind w:left="1132"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 for which it is given) in writing shall be given to each Member entitled to receive notice thereof specifying the place, date and time of the meeting, that the election of Directors will take place at the meeting and, as far as practicable, the general nature of the business to be considered.</w:t>
      </w:r>
    </w:p>
    <w:p>
      <w:pPr>
        <w:spacing w:after="0" w:line="87" w:lineRule="exact"/>
        <w:rPr>
          <w:sz w:val="20"/>
          <w:szCs w:val="20"/>
          <w:color w:val="auto"/>
        </w:rPr>
      </w:pPr>
    </w:p>
    <w:p>
      <w:pPr>
        <w:ind w:left="1132" w:right="240" w:hanging="566"/>
        <w:spacing w:after="0" w:line="277" w:lineRule="auto"/>
        <w:tabs>
          <w:tab w:leader="none" w:pos="1112" w:val="left"/>
        </w:tabs>
        <w:rPr>
          <w:sz w:val="20"/>
          <w:szCs w:val="20"/>
          <w:color w:val="auto"/>
        </w:rPr>
      </w:pPr>
      <w:r>
        <w:rPr>
          <w:rFonts w:ascii="Arial" w:cs="Arial" w:eastAsia="Arial" w:hAnsi="Arial"/>
          <w:sz w:val="18"/>
          <w:szCs w:val="18"/>
          <w:color w:val="auto"/>
        </w:rPr>
        <w:t>20.2</w:t>
        <w:tab/>
        <w:t>In accordance with the provisions of Section 71A of the Act, the Company may by Resolution elect to dispense with the holdings of annual general meetings. The election may have effect for</w:t>
      </w:r>
    </w:p>
    <w:p>
      <w:pPr>
        <w:spacing w:after="0" w:line="76" w:lineRule="exact"/>
        <w:rPr>
          <w:sz w:val="20"/>
          <w:szCs w:val="20"/>
          <w:color w:val="auto"/>
        </w:rPr>
      </w:pPr>
    </w:p>
    <w:p>
      <w:pPr>
        <w:ind w:left="1812" w:hanging="678"/>
        <w:spacing w:after="0"/>
        <w:tabs>
          <w:tab w:leader="none" w:pos="18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year in which it is made and any subsequent year or years;</w:t>
      </w:r>
    </w:p>
    <w:p>
      <w:pPr>
        <w:spacing w:after="0" w:line="130" w:lineRule="exact"/>
        <w:rPr>
          <w:rFonts w:ascii="Arial" w:cs="Arial" w:eastAsia="Arial" w:hAnsi="Arial"/>
          <w:sz w:val="18"/>
          <w:szCs w:val="18"/>
          <w:color w:val="auto"/>
        </w:rPr>
      </w:pPr>
    </w:p>
    <w:p>
      <w:pPr>
        <w:ind w:left="1812" w:hanging="678"/>
        <w:spacing w:after="0"/>
        <w:tabs>
          <w:tab w:leader="none" w:pos="18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specified number of years; or</w:t>
      </w:r>
    </w:p>
    <w:p>
      <w:pPr>
        <w:spacing w:after="0" w:line="130" w:lineRule="exact"/>
        <w:rPr>
          <w:rFonts w:ascii="Arial" w:cs="Arial" w:eastAsia="Arial" w:hAnsi="Arial"/>
          <w:sz w:val="18"/>
          <w:szCs w:val="18"/>
          <w:color w:val="auto"/>
        </w:rPr>
      </w:pPr>
    </w:p>
    <w:p>
      <w:pPr>
        <w:ind w:left="1812" w:hanging="678"/>
        <w:spacing w:after="0"/>
        <w:tabs>
          <w:tab w:leader="none" w:pos="18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indefinitely.</w:t>
      </w:r>
    </w:p>
    <w:p>
      <w:pPr>
        <w:spacing w:after="0" w:line="131" w:lineRule="exact"/>
        <w:rPr>
          <w:sz w:val="20"/>
          <w:szCs w:val="20"/>
          <w:color w:val="auto"/>
        </w:rPr>
      </w:pPr>
    </w:p>
    <w:p>
      <w:pPr>
        <w:ind w:left="1132" w:right="100" w:hanging="566"/>
        <w:spacing w:after="0" w:line="264" w:lineRule="auto"/>
        <w:tabs>
          <w:tab w:leader="none" w:pos="1112" w:val="left"/>
        </w:tabs>
        <w:rPr>
          <w:sz w:val="20"/>
          <w:szCs w:val="20"/>
          <w:color w:val="auto"/>
        </w:rPr>
      </w:pPr>
      <w:r>
        <w:rPr>
          <w:rFonts w:ascii="Arial" w:cs="Arial" w:eastAsia="Arial" w:hAnsi="Arial"/>
          <w:sz w:val="18"/>
          <w:szCs w:val="18"/>
          <w:color w:val="auto"/>
        </w:rPr>
        <w:t>20.3</w:t>
        <w:tab/>
        <w:t>In any year in which an annual general meeting would be required to be held but for an election under Bye-law 20.2, and in which no general meeting has been held, any Member or Members may, by notice in writing to the Company not later than three (3) months before the end of such year, require the holding of an annual general meeting in that year.</w:t>
      </w:r>
    </w:p>
    <w:p>
      <w:pPr>
        <w:spacing w:after="0" w:line="87" w:lineRule="exact"/>
        <w:rPr>
          <w:sz w:val="20"/>
          <w:szCs w:val="20"/>
          <w:color w:val="auto"/>
        </w:rPr>
      </w:pPr>
    </w:p>
    <w:p>
      <w:pPr>
        <w:ind w:left="1132" w:hanging="566"/>
        <w:spacing w:after="0" w:line="277" w:lineRule="auto"/>
        <w:tabs>
          <w:tab w:leader="none" w:pos="1112" w:val="left"/>
        </w:tabs>
        <w:rPr>
          <w:sz w:val="20"/>
          <w:szCs w:val="20"/>
          <w:color w:val="auto"/>
        </w:rPr>
      </w:pPr>
      <w:r>
        <w:rPr>
          <w:rFonts w:ascii="Arial" w:cs="Arial" w:eastAsia="Arial" w:hAnsi="Arial"/>
          <w:sz w:val="18"/>
          <w:szCs w:val="18"/>
          <w:color w:val="auto"/>
        </w:rPr>
        <w:t>20.4</w:t>
        <w:tab/>
        <w:t>If an election under Bye-law 20.2 ceases to have effect, the Company is not obliged to hold an annual general meeting in that year if, when the election ceases to have effect, less than three months of that year remains.</w:t>
      </w:r>
    </w:p>
    <w:p>
      <w:pPr>
        <w:spacing w:after="0" w:line="315" w:lineRule="exact"/>
        <w:rPr>
          <w:sz w:val="20"/>
          <w:szCs w:val="20"/>
          <w:color w:val="auto"/>
        </w:rPr>
      </w:pPr>
    </w:p>
    <w:p>
      <w:pPr>
        <w:ind w:left="572" w:hanging="572"/>
        <w:spacing w:after="0"/>
        <w:tabs>
          <w:tab w:leader="none" w:pos="572"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Special general meetings/requisition of Members</w:t>
      </w:r>
    </w:p>
    <w:p>
      <w:pPr>
        <w:spacing w:after="0" w:line="134"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21.1   The Board may, whenever it thinks fit, convene general meetings other than annual general meetings which shall be special general meetings.</w:t>
      </w:r>
    </w:p>
    <w:p>
      <w:pPr>
        <w:spacing w:after="0" w:line="153" w:lineRule="exact"/>
        <w:rPr>
          <w:rFonts w:ascii="Arial" w:cs="Arial" w:eastAsia="Arial" w:hAnsi="Arial"/>
          <w:sz w:val="18"/>
          <w:szCs w:val="18"/>
          <w:color w:val="auto"/>
        </w:rPr>
      </w:pPr>
    </w:p>
    <w:p>
      <w:pPr>
        <w:ind w:left="1132" w:right="140" w:hanging="567"/>
        <w:spacing w:after="0" w:line="264" w:lineRule="auto"/>
        <w:rPr>
          <w:rFonts w:ascii="Arial" w:cs="Arial" w:eastAsia="Arial" w:hAnsi="Arial"/>
          <w:sz w:val="18"/>
          <w:szCs w:val="18"/>
          <w:color w:val="auto"/>
        </w:rPr>
      </w:pPr>
      <w:r>
        <w:rPr>
          <w:rFonts w:ascii="Arial" w:cs="Arial" w:eastAsia="Arial" w:hAnsi="Arial"/>
          <w:sz w:val="18"/>
          <w:szCs w:val="18"/>
          <w:color w:val="auto"/>
        </w:rPr>
        <w:t>21.2 The Board shall, on the requisition of Members holding at the date of deposit of the requisition not less than one-tenth of such of the paid-up share capital of the Company as at the date of deposit carries the right to attend and vote at general meetings of the Company, forthwith proceed to convene a special general meeting of the Company and Section 74 of the Act shall apply.</w:t>
      </w:r>
    </w:p>
    <w:p>
      <w:pPr>
        <w:spacing w:after="0" w:line="86" w:lineRule="exact"/>
        <w:rPr>
          <w:rFonts w:ascii="Arial" w:cs="Arial" w:eastAsia="Arial" w:hAnsi="Arial"/>
          <w:sz w:val="18"/>
          <w:szCs w:val="18"/>
          <w:color w:val="auto"/>
        </w:rPr>
      </w:pPr>
    </w:p>
    <w:p>
      <w:pPr>
        <w:ind w:left="1132" w:right="100" w:hanging="567"/>
        <w:spacing w:after="0" w:line="264" w:lineRule="auto"/>
        <w:rPr>
          <w:rFonts w:ascii="Arial" w:cs="Arial" w:eastAsia="Arial" w:hAnsi="Arial"/>
          <w:sz w:val="18"/>
          <w:szCs w:val="18"/>
          <w:color w:val="auto"/>
        </w:rPr>
      </w:pPr>
      <w:r>
        <w:rPr>
          <w:rFonts w:ascii="Arial" w:cs="Arial" w:eastAsia="Arial" w:hAnsi="Arial"/>
          <w:sz w:val="18"/>
          <w:szCs w:val="18"/>
          <w:color w:val="auto"/>
        </w:rPr>
        <w:t>21.3 A special general meeting shall be convened by the Board on not less than 5 days’ notice (excluding the day on which it is served or deemed to be served and the day for which it is given) in writing to each Member entitled to receive notice thereof specifying the place, date and time of the meeting and the general nature of the business to be considered at the meeting.</w:t>
      </w:r>
    </w:p>
    <w:p>
      <w:pPr>
        <w:spacing w:after="0" w:line="325" w:lineRule="exact"/>
        <w:rPr>
          <w:rFonts w:ascii="Arial" w:cs="Arial" w:eastAsia="Arial" w:hAnsi="Arial"/>
          <w:sz w:val="18"/>
          <w:szCs w:val="18"/>
          <w:color w:val="auto"/>
        </w:rPr>
      </w:pPr>
    </w:p>
    <w:p>
      <w:pPr>
        <w:ind w:left="572" w:hanging="572"/>
        <w:spacing w:after="0"/>
        <w:tabs>
          <w:tab w:leader="none" w:pos="572"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Short notice</w:t>
      </w:r>
    </w:p>
    <w:p>
      <w:pPr>
        <w:spacing w:after="0" w:line="121" w:lineRule="exact"/>
        <w:rPr>
          <w:rFonts w:ascii="Arial" w:cs="Arial" w:eastAsia="Arial" w:hAnsi="Arial"/>
          <w:sz w:val="18"/>
          <w:szCs w:val="18"/>
          <w:color w:val="auto"/>
        </w:rPr>
      </w:pPr>
    </w:p>
    <w:p>
      <w:pPr>
        <w:ind w:left="572" w:right="30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that a meeting of the Company is called by shorter notice than that specified in Bye-laws 20 or 0, it shall be deemed to have been duly called if it is so agreed:</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the case of a meeting called as an annual general meeting, by all the Members entitled to attend and vote at the meeting;</w:t>
      </w:r>
    </w:p>
    <w:p>
      <w:pPr>
        <w:spacing w:after="0" w:line="130" w:lineRule="exact"/>
        <w:rPr>
          <w:rFonts w:ascii="Arial" w:cs="Arial" w:eastAsia="Arial" w:hAnsi="Arial"/>
          <w:sz w:val="18"/>
          <w:szCs w:val="18"/>
          <w:color w:val="auto"/>
        </w:rPr>
      </w:pPr>
    </w:p>
    <w:p>
      <w:pPr>
        <w:ind w:left="1132" w:right="120" w:hanging="565"/>
        <w:spacing w:after="0" w:line="277" w:lineRule="auto"/>
        <w:tabs>
          <w:tab w:leader="none" w:pos="11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the case of any other meeting, by a majority in number of the Members having the right to attend and vote at the meeting, being a majority together holding not less than 95 percent in nominal value of the shares giving that right.</w:t>
      </w:r>
    </w:p>
    <w:p>
      <w:pPr>
        <w:spacing w:after="0" w:line="315" w:lineRule="exact"/>
        <w:rPr>
          <w:rFonts w:ascii="Arial" w:cs="Arial" w:eastAsia="Arial" w:hAnsi="Arial"/>
          <w:sz w:val="18"/>
          <w:szCs w:val="18"/>
          <w:color w:val="auto"/>
        </w:rPr>
      </w:pPr>
    </w:p>
    <w:p>
      <w:pPr>
        <w:ind w:left="572" w:hanging="572"/>
        <w:spacing w:after="0"/>
        <w:tabs>
          <w:tab w:leader="none" w:pos="572"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Accidental omission of notice of general meeting</w:t>
      </w:r>
    </w:p>
    <w:p>
      <w:pPr>
        <w:spacing w:after="0" w:line="121" w:lineRule="exact"/>
        <w:rPr>
          <w:rFonts w:ascii="Arial" w:cs="Arial" w:eastAsia="Arial" w:hAnsi="Arial"/>
          <w:sz w:val="18"/>
          <w:szCs w:val="18"/>
          <w:color w:val="auto"/>
        </w:rPr>
      </w:pPr>
    </w:p>
    <w:p>
      <w:pPr>
        <w:ind w:left="572" w:right="160"/>
        <w:spacing w:after="0" w:line="264" w:lineRule="auto"/>
        <w:rPr>
          <w:rFonts w:ascii="Arial" w:cs="Arial" w:eastAsia="Arial" w:hAnsi="Arial"/>
          <w:sz w:val="18"/>
          <w:szCs w:val="18"/>
          <w:color w:val="auto"/>
        </w:rPr>
      </w:pPr>
      <w:r>
        <w:rPr>
          <w:rFonts w:ascii="Arial" w:cs="Arial" w:eastAsia="Arial" w:hAnsi="Arial"/>
          <w:sz w:val="18"/>
          <w:szCs w:val="18"/>
          <w:color w:val="auto"/>
        </w:rPr>
        <w:t>The accidental omission to give notice of a meeting or (in cases where instruments of proxy are sent out with the notice) the accidental omission to send such instrument of proxy to, or the non-receipt of notice of a meeting or such instrument of proxy by, any person entitled to receive such notice shall not invalidate the proceedings at that meeting.</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74" w:right="239" w:bottom="1440" w:gutter="0" w:footer="0" w:header="0"/>
        </w:sectPr>
      </w:pPr>
    </w:p>
    <w:bookmarkStart w:id="19" w:name="page20"/>
    <w:bookmarkEnd w:id="19"/>
    <w:p>
      <w:pPr>
        <w:ind w:left="572" w:hanging="572"/>
        <w:spacing w:after="0"/>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Quorum for general meetings</w:t>
      </w:r>
    </w:p>
    <w:p>
      <w:pPr>
        <w:spacing w:after="0" w:line="121" w:lineRule="exact"/>
        <w:rPr>
          <w:rFonts w:ascii="Arial" w:cs="Arial" w:eastAsia="Arial" w:hAnsi="Arial"/>
          <w:sz w:val="18"/>
          <w:szCs w:val="18"/>
          <w:color w:val="auto"/>
        </w:rPr>
      </w:pPr>
    </w:p>
    <w:p>
      <w:pPr>
        <w:ind w:left="572" w:right="200"/>
        <w:spacing w:after="0" w:line="257" w:lineRule="auto"/>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is present. Save as otherwise provided by these Bye-laws, at least two Members present in person or by proxy and entitled to vote shall be a quorum for all purposes provided that if the Company shall have only one Member, one Member present in person or by proxy shall constitute the necessary quorum. If within half an hour from the time appointed for the meeting a quorum is not present, the meeting shall stand adjourned to the same day one week later, at the same time and place or to such other day, time and place as the Secretary may determine.</w:t>
      </w:r>
    </w:p>
    <w:p>
      <w:pPr>
        <w:spacing w:after="0" w:line="332" w:lineRule="exact"/>
        <w:rPr>
          <w:rFonts w:ascii="Arial" w:cs="Arial" w:eastAsia="Arial" w:hAnsi="Arial"/>
          <w:sz w:val="18"/>
          <w:szCs w:val="18"/>
          <w:color w:val="auto"/>
        </w:rPr>
      </w:pPr>
    </w:p>
    <w:p>
      <w:pPr>
        <w:ind w:left="572" w:hanging="572"/>
        <w:spacing w:after="0"/>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Adjournment of meetings</w:t>
      </w:r>
    </w:p>
    <w:p>
      <w:pPr>
        <w:spacing w:after="0" w:line="121" w:lineRule="exact"/>
        <w:rPr>
          <w:rFonts w:ascii="Arial" w:cs="Arial" w:eastAsia="Arial" w:hAnsi="Arial"/>
          <w:sz w:val="18"/>
          <w:szCs w:val="18"/>
          <w:color w:val="auto"/>
        </w:rPr>
      </w:pPr>
    </w:p>
    <w:p>
      <w:pPr>
        <w:ind w:left="572" w:right="20"/>
        <w:spacing w:after="0" w:line="312" w:lineRule="auto"/>
        <w:rPr>
          <w:rFonts w:ascii="Arial" w:cs="Arial" w:eastAsia="Arial" w:hAnsi="Arial"/>
          <w:sz w:val="18"/>
          <w:szCs w:val="18"/>
          <w:color w:val="auto"/>
        </w:rPr>
      </w:pPr>
      <w:r>
        <w:rPr>
          <w:rFonts w:ascii="Arial" w:cs="Arial" w:eastAsia="Arial" w:hAnsi="Arial"/>
          <w:sz w:val="16"/>
          <w:szCs w:val="16"/>
          <w:color w:val="auto"/>
        </w:rPr>
        <w:t>The chairman of a general meeting may, with the consent of the Members at any general meeting at which a quorum is present (and shall if so directed), adjourn the meeting. Unless the meeting is adjourned to a specific date and time, fresh notice of the date, time and place for the resumption of the adjourned meeting shall be given to each Member entitled to attend and vote at general meetings in accordance with these Bye-laws.</w:t>
      </w:r>
    </w:p>
    <w:p>
      <w:pPr>
        <w:spacing w:after="0" w:line="291" w:lineRule="exact"/>
        <w:rPr>
          <w:rFonts w:ascii="Arial" w:cs="Arial" w:eastAsia="Arial" w:hAnsi="Arial"/>
          <w:sz w:val="18"/>
          <w:szCs w:val="18"/>
          <w:color w:val="auto"/>
        </w:rPr>
      </w:pPr>
    </w:p>
    <w:p>
      <w:pPr>
        <w:ind w:left="572" w:hanging="572"/>
        <w:spacing w:after="0"/>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Telephone etc. meetings</w:t>
      </w:r>
    </w:p>
    <w:p>
      <w:pPr>
        <w:spacing w:after="0" w:line="121" w:lineRule="exact"/>
        <w:rPr>
          <w:rFonts w:ascii="Arial" w:cs="Arial" w:eastAsia="Arial" w:hAnsi="Arial"/>
          <w:sz w:val="18"/>
          <w:szCs w:val="18"/>
          <w:color w:val="auto"/>
        </w:rPr>
      </w:pPr>
    </w:p>
    <w:p>
      <w:pPr>
        <w:ind w:left="572" w:right="80"/>
        <w:spacing w:after="0" w:line="264" w:lineRule="auto"/>
        <w:rPr>
          <w:rFonts w:ascii="Arial" w:cs="Arial" w:eastAsia="Arial" w:hAnsi="Arial"/>
          <w:sz w:val="18"/>
          <w:szCs w:val="18"/>
          <w:color w:val="auto"/>
        </w:rPr>
      </w:pPr>
      <w:r>
        <w:rPr>
          <w:rFonts w:ascii="Arial" w:cs="Arial" w:eastAsia="Arial" w:hAnsi="Arial"/>
          <w:sz w:val="18"/>
          <w:szCs w:val="18"/>
          <w:color w:val="auto"/>
        </w:rPr>
        <w:t>Members may participate in any general meeting by telephone, electronic or other communication facilities which permit all persons participating in the meeting to communicate with each other simultaneously and instantaneously and participation in such a meeting shall constitute presence in person at such meeting.</w:t>
      </w:r>
    </w:p>
    <w:p>
      <w:pPr>
        <w:spacing w:after="0" w:line="325" w:lineRule="exact"/>
        <w:rPr>
          <w:rFonts w:ascii="Arial" w:cs="Arial" w:eastAsia="Arial" w:hAnsi="Arial"/>
          <w:sz w:val="18"/>
          <w:szCs w:val="18"/>
          <w:color w:val="auto"/>
        </w:rPr>
      </w:pPr>
    </w:p>
    <w:p>
      <w:pPr>
        <w:ind w:left="572" w:hanging="572"/>
        <w:spacing w:after="0"/>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Attendance of Directors</w:t>
      </w:r>
    </w:p>
    <w:p>
      <w:pPr>
        <w:spacing w:after="0" w:line="121" w:lineRule="exact"/>
        <w:rPr>
          <w:rFonts w:ascii="Arial" w:cs="Arial" w:eastAsia="Arial" w:hAnsi="Arial"/>
          <w:sz w:val="18"/>
          <w:szCs w:val="18"/>
          <w:color w:val="auto"/>
        </w:rPr>
      </w:pPr>
    </w:p>
    <w:p>
      <w:pPr>
        <w:ind w:left="572" w:right="180"/>
        <w:spacing w:after="0" w:line="277" w:lineRule="auto"/>
        <w:rPr>
          <w:rFonts w:ascii="Arial" w:cs="Arial" w:eastAsia="Arial" w:hAnsi="Arial"/>
          <w:sz w:val="18"/>
          <w:szCs w:val="18"/>
          <w:color w:val="auto"/>
        </w:rPr>
      </w:pPr>
      <w:r>
        <w:rPr>
          <w:rFonts w:ascii="Arial" w:cs="Arial" w:eastAsia="Arial" w:hAnsi="Arial"/>
          <w:sz w:val="18"/>
          <w:szCs w:val="18"/>
          <w:color w:val="auto"/>
        </w:rPr>
        <w:t>The Directors shall upon written request deposited at the Registered Office be entitled to receive notice of, attend and speak at, general meetings of the Company.</w:t>
      </w:r>
    </w:p>
    <w:p>
      <w:pPr>
        <w:spacing w:after="0" w:line="315" w:lineRule="exact"/>
        <w:rPr>
          <w:rFonts w:ascii="Arial" w:cs="Arial" w:eastAsia="Arial" w:hAnsi="Arial"/>
          <w:sz w:val="18"/>
          <w:szCs w:val="18"/>
          <w:color w:val="auto"/>
        </w:rPr>
      </w:pPr>
    </w:p>
    <w:p>
      <w:pPr>
        <w:ind w:left="572" w:hanging="572"/>
        <w:spacing w:after="0"/>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Chairman of meetings</w:t>
      </w:r>
    </w:p>
    <w:p>
      <w:pPr>
        <w:spacing w:after="0" w:line="121" w:lineRule="exact"/>
        <w:rPr>
          <w:rFonts w:ascii="Arial" w:cs="Arial" w:eastAsia="Arial" w:hAnsi="Arial"/>
          <w:sz w:val="18"/>
          <w:szCs w:val="18"/>
          <w:color w:val="auto"/>
        </w:rPr>
      </w:pPr>
    </w:p>
    <w:p>
      <w:pPr>
        <w:ind w:left="572"/>
        <w:spacing w:after="0" w:line="259" w:lineRule="auto"/>
        <w:rPr>
          <w:rFonts w:ascii="Arial" w:cs="Arial" w:eastAsia="Arial" w:hAnsi="Arial"/>
          <w:sz w:val="18"/>
          <w:szCs w:val="18"/>
          <w:color w:val="auto"/>
        </w:rPr>
      </w:pPr>
      <w:r>
        <w:rPr>
          <w:rFonts w:ascii="Arial" w:cs="Arial" w:eastAsia="Arial" w:hAnsi="Arial"/>
          <w:sz w:val="18"/>
          <w:szCs w:val="18"/>
          <w:color w:val="auto"/>
        </w:rPr>
        <w:t>The Chairman or President of the Company shall preside as chairman at every general meeting. If at any meeting neither the Chairman nor the President is present within five minutes after the time appointed for holding the meeting, the Directors present shall choose one of their number to act or if one Director only is present he shall preside as chairman if willing to act. If no Director is present or, if no Director is willing to act as chairman, the persons present and entitled to vote on a poll shall elect one of their number to be chairman.</w:t>
      </w:r>
    </w:p>
    <w:p>
      <w:pPr>
        <w:spacing w:after="0" w:line="331" w:lineRule="exact"/>
        <w:rPr>
          <w:rFonts w:ascii="Arial" w:cs="Arial" w:eastAsia="Arial" w:hAnsi="Arial"/>
          <w:sz w:val="18"/>
          <w:szCs w:val="18"/>
          <w:color w:val="auto"/>
        </w:rPr>
      </w:pPr>
    </w:p>
    <w:p>
      <w:pPr>
        <w:ind w:left="572" w:hanging="572"/>
        <w:spacing w:after="0"/>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Voting at meetings</w:t>
      </w:r>
    </w:p>
    <w:p>
      <w:pPr>
        <w:spacing w:after="0" w:line="134" w:lineRule="exact"/>
        <w:rPr>
          <w:rFonts w:ascii="Arial" w:cs="Arial" w:eastAsia="Arial" w:hAnsi="Arial"/>
          <w:sz w:val="18"/>
          <w:szCs w:val="18"/>
          <w:color w:val="auto"/>
        </w:rPr>
      </w:pPr>
    </w:p>
    <w:p>
      <w:pPr>
        <w:ind w:left="1132" w:right="40" w:hanging="567"/>
        <w:spacing w:after="0" w:line="277" w:lineRule="auto"/>
        <w:rPr>
          <w:rFonts w:ascii="Arial" w:cs="Arial" w:eastAsia="Arial" w:hAnsi="Arial"/>
          <w:sz w:val="18"/>
          <w:szCs w:val="18"/>
          <w:color w:val="auto"/>
        </w:rPr>
      </w:pPr>
      <w:r>
        <w:rPr>
          <w:rFonts w:ascii="Arial" w:cs="Arial" w:eastAsia="Arial" w:hAnsi="Arial"/>
          <w:sz w:val="18"/>
          <w:szCs w:val="18"/>
          <w:color w:val="auto"/>
        </w:rPr>
        <w:t>29.1 Save where a greater majority is required by the Act or these Bye-laws, any question proposed for consideration at a general meeting shall be decided on by a simple majority of votes cast.</w:t>
      </w:r>
    </w:p>
    <w:p>
      <w:pPr>
        <w:spacing w:after="0" w:line="75"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7"/>
          <w:szCs w:val="17"/>
          <w:color w:val="auto"/>
        </w:rPr>
        <w:t>29.2   No Member shall be entitled to vote at any general meeting unless that Member has paid all the calls on all shares held by that Member.</w:t>
      </w:r>
    </w:p>
    <w:p>
      <w:pPr>
        <w:spacing w:after="0" w:line="381" w:lineRule="exact"/>
        <w:rPr>
          <w:rFonts w:ascii="Arial" w:cs="Arial" w:eastAsia="Arial" w:hAnsi="Arial"/>
          <w:sz w:val="18"/>
          <w:szCs w:val="18"/>
          <w:color w:val="auto"/>
        </w:rPr>
      </w:pPr>
    </w:p>
    <w:p>
      <w:pPr>
        <w:ind w:left="572" w:hanging="572"/>
        <w:spacing w:after="0"/>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Voting on show of hands</w:t>
      </w:r>
    </w:p>
    <w:p>
      <w:pPr>
        <w:spacing w:after="0" w:line="121" w:lineRule="exact"/>
        <w:rPr>
          <w:rFonts w:ascii="Arial" w:cs="Arial" w:eastAsia="Arial" w:hAnsi="Arial"/>
          <w:sz w:val="18"/>
          <w:szCs w:val="18"/>
          <w:color w:val="auto"/>
        </w:rPr>
      </w:pPr>
    </w:p>
    <w:p>
      <w:pPr>
        <w:ind w:left="572" w:right="60"/>
        <w:spacing w:after="0" w:line="312" w:lineRule="auto"/>
        <w:rPr>
          <w:rFonts w:ascii="Arial" w:cs="Arial" w:eastAsia="Arial" w:hAnsi="Arial"/>
          <w:sz w:val="18"/>
          <w:szCs w:val="18"/>
          <w:color w:val="auto"/>
        </w:rPr>
      </w:pPr>
      <w:r>
        <w:rPr>
          <w:rFonts w:ascii="Arial" w:cs="Arial" w:eastAsia="Arial" w:hAnsi="Arial"/>
          <w:sz w:val="16"/>
          <w:szCs w:val="16"/>
          <w:color w:val="auto"/>
        </w:rPr>
        <w:t>Unless a poll is demanded in accordance with Bye-law 32, at any general meeting, a resolution put to the vote of the meeting shall be decided on a show of hands and, subject to any rights or restrictions for the time being lawfully attached to any class of shares and subject to these Bye-laws, each Member present in person or proxy at that meeting shall be entitled to one vote and shall cast that vote by raising his or her hand.</w:t>
      </w:r>
    </w:p>
    <w:p>
      <w:pPr>
        <w:spacing w:after="0" w:line="291" w:lineRule="exact"/>
        <w:rPr>
          <w:rFonts w:ascii="Arial" w:cs="Arial" w:eastAsia="Arial" w:hAnsi="Arial"/>
          <w:sz w:val="18"/>
          <w:szCs w:val="18"/>
          <w:color w:val="auto"/>
        </w:rPr>
      </w:pPr>
    </w:p>
    <w:p>
      <w:pPr>
        <w:ind w:left="572" w:hanging="572"/>
        <w:spacing w:after="0"/>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Chairman’s decision</w:t>
      </w:r>
    </w:p>
    <w:p>
      <w:pPr>
        <w:spacing w:after="0" w:line="121" w:lineRule="exact"/>
        <w:rPr>
          <w:rFonts w:ascii="Arial" w:cs="Arial" w:eastAsia="Arial" w:hAnsi="Arial"/>
          <w:sz w:val="18"/>
          <w:szCs w:val="18"/>
          <w:color w:val="auto"/>
        </w:rPr>
      </w:pPr>
    </w:p>
    <w:p>
      <w:pPr>
        <w:ind w:left="572" w:right="40"/>
        <w:spacing w:after="0" w:line="259" w:lineRule="auto"/>
        <w:rPr>
          <w:rFonts w:ascii="Arial" w:cs="Arial" w:eastAsia="Arial" w:hAnsi="Arial"/>
          <w:sz w:val="18"/>
          <w:szCs w:val="18"/>
          <w:color w:val="auto"/>
        </w:rPr>
      </w:pPr>
      <w:r>
        <w:rPr>
          <w:rFonts w:ascii="Arial" w:cs="Arial" w:eastAsia="Arial" w:hAnsi="Arial"/>
          <w:sz w:val="18"/>
          <w:szCs w:val="18"/>
          <w:color w:val="auto"/>
        </w:rPr>
        <w:t>Unless a poll is so demanded and the demand is not withdrawn, a declaration by the Chairman that a resolution has, on a show of hands, been carried or carried unanimously or by a particular majority or not carried by a particular majority or lost shall be final and conclusive, and an entry to that effect in the minute book of the Company shall be conclusive evidence of that fact without proof of the number of votes recorded for or against such resolution.</w:t>
      </w:r>
    </w:p>
    <w:p>
      <w:pPr>
        <w:spacing w:after="0" w:line="11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52"/>
          </w:cols>
          <w:pgMar w:left="248" w:top="270" w:right="299" w:bottom="1440" w:gutter="0" w:footer="0" w:header="0"/>
        </w:sectPr>
      </w:pPr>
    </w:p>
    <w:bookmarkStart w:id="20" w:name="page21"/>
    <w:bookmarkEnd w:id="20"/>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Demand for a poll</w:t>
      </w:r>
    </w:p>
    <w:p>
      <w:pPr>
        <w:spacing w:after="0" w:line="134" w:lineRule="exact"/>
        <w:rPr>
          <w:rFonts w:ascii="Arial" w:cs="Arial" w:eastAsia="Arial" w:hAnsi="Arial"/>
          <w:sz w:val="18"/>
          <w:szCs w:val="18"/>
          <w:color w:val="auto"/>
        </w:rPr>
      </w:pPr>
    </w:p>
    <w:p>
      <w:pPr>
        <w:ind w:left="1140" w:right="420" w:hanging="567"/>
        <w:spacing w:after="0" w:line="308" w:lineRule="auto"/>
        <w:rPr>
          <w:rFonts w:ascii="Arial" w:cs="Arial" w:eastAsia="Arial" w:hAnsi="Arial"/>
          <w:sz w:val="18"/>
          <w:szCs w:val="18"/>
          <w:color w:val="auto"/>
        </w:rPr>
      </w:pPr>
      <w:r>
        <w:rPr>
          <w:rFonts w:ascii="Arial" w:cs="Arial" w:eastAsia="Arial" w:hAnsi="Arial"/>
          <w:sz w:val="17"/>
          <w:szCs w:val="17"/>
          <w:color w:val="auto"/>
        </w:rPr>
        <w:t>32.1 At any general meeting of the Company, in respect of any question proposed for consideration of the Members (whether before or on the declaration of the result of the show of hands or on the withdrawal of any other demand for a poll) a poll may be demanded by:</w:t>
      </w:r>
    </w:p>
    <w:p>
      <w:pPr>
        <w:spacing w:after="0" w:line="51" w:lineRule="exact"/>
        <w:rPr>
          <w:rFonts w:ascii="Arial" w:cs="Arial" w:eastAsia="Arial" w:hAnsi="Arial"/>
          <w:sz w:val="18"/>
          <w:szCs w:val="18"/>
          <w:color w:val="auto"/>
        </w:rPr>
      </w:pPr>
    </w:p>
    <w:p>
      <w:pPr>
        <w:ind w:left="1140" w:hanging="565"/>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chairman of the meeting;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 least three Members present in person or represented by proxy; or</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Member or Members present in person or represented by proxy and holding between them not less than one tenth of the total voting rights of all the Members having the right to vote at such meeting; or</w:t>
      </w:r>
    </w:p>
    <w:p>
      <w:pPr>
        <w:spacing w:after="0" w:line="75" w:lineRule="exact"/>
        <w:rPr>
          <w:rFonts w:ascii="Arial" w:cs="Arial" w:eastAsia="Arial" w:hAnsi="Arial"/>
          <w:sz w:val="18"/>
          <w:szCs w:val="18"/>
          <w:color w:val="auto"/>
        </w:rPr>
      </w:pPr>
    </w:p>
    <w:p>
      <w:pPr>
        <w:ind w:left="1140" w:right="140" w:hanging="565"/>
        <w:spacing w:after="0" w:line="342" w:lineRule="auto"/>
        <w:tabs>
          <w:tab w:leader="none" w:pos="11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 Member or Members present in person or represented by proxy holding shares conferring the right to vote at such meeting, being shares on which an aggregate sum has been paid up equal to not less than one tenth of the total sum paid up on all such shares conferring such right.</w:t>
      </w:r>
    </w:p>
    <w:p>
      <w:pPr>
        <w:spacing w:after="0" w:line="29" w:lineRule="exact"/>
        <w:rPr>
          <w:sz w:val="20"/>
          <w:szCs w:val="20"/>
          <w:color w:val="auto"/>
        </w:rPr>
      </w:pPr>
    </w:p>
    <w:p>
      <w:pPr>
        <w:ind w:left="1140" w:right="100" w:hanging="566"/>
        <w:spacing w:after="0" w:line="257" w:lineRule="auto"/>
        <w:tabs>
          <w:tab w:leader="none" w:pos="1120" w:val="left"/>
        </w:tabs>
        <w:rPr>
          <w:sz w:val="20"/>
          <w:szCs w:val="20"/>
          <w:color w:val="auto"/>
        </w:rPr>
      </w:pPr>
      <w:r>
        <w:rPr>
          <w:rFonts w:ascii="Arial" w:cs="Arial" w:eastAsia="Arial" w:hAnsi="Arial"/>
          <w:sz w:val="18"/>
          <w:szCs w:val="18"/>
          <w:color w:val="auto"/>
        </w:rPr>
        <w:t>32.2</w:t>
        <w:tab/>
        <w:t>Where, in accordance with Bye-law 32.1, a poll is demanded, subject to any rights or restrictions for the time being lawfully attached to any class of shares, every person present at that meeting shall have one vote for each share of which that person is the holder or for which that person holds a valid proxy and such vote shall be counted in such manner as the chairman of the meeting may direct and the result of the poll shall be deemed to be the resolution of the meeting at which the poll was demanded and shall replace any previous resolution upon the same matter which has been the subject of a show of hands.</w:t>
      </w:r>
    </w:p>
    <w:p>
      <w:pPr>
        <w:spacing w:after="0" w:line="94" w:lineRule="exact"/>
        <w:rPr>
          <w:sz w:val="20"/>
          <w:szCs w:val="20"/>
          <w:color w:val="auto"/>
        </w:rPr>
      </w:pPr>
    </w:p>
    <w:p>
      <w:pPr>
        <w:ind w:left="1140" w:hanging="566"/>
        <w:spacing w:after="0" w:line="312" w:lineRule="auto"/>
        <w:tabs>
          <w:tab w:leader="none" w:pos="11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A poll demanded on the election of a chairman, or on a question of adjournment, shall be taken forthwith. A poll demanded on any other question shall be taken in such manner and either forthwith or at such time (being not later than three months after the date of the demand) and place as the chairman shall direct. It shall not be necessary (unless the chairman otherwise directs) for notice to be given of a poll.</w:t>
      </w:r>
    </w:p>
    <w:p>
      <w:pPr>
        <w:spacing w:after="0" w:line="5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On a poll:</w:t>
      </w:r>
    </w:p>
    <w:p>
      <w:pPr>
        <w:spacing w:after="0" w:line="131" w:lineRule="exact"/>
        <w:rPr>
          <w:sz w:val="20"/>
          <w:szCs w:val="20"/>
          <w:color w:val="auto"/>
        </w:rPr>
      </w:pPr>
    </w:p>
    <w:p>
      <w:pPr>
        <w:ind w:left="1140" w:hanging="565"/>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votes may be cast either personally or by proxy;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person entitled to more than one vote need not cast all his votes or cast all his votes in the same way.</w:t>
      </w:r>
    </w:p>
    <w:p>
      <w:pPr>
        <w:spacing w:after="0" w:line="369"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Equality of votes</w:t>
      </w:r>
    </w:p>
    <w:p>
      <w:pPr>
        <w:spacing w:after="0" w:line="121" w:lineRule="exact"/>
        <w:rPr>
          <w:rFonts w:ascii="Arial" w:cs="Arial" w:eastAsia="Arial" w:hAnsi="Arial"/>
          <w:sz w:val="18"/>
          <w:szCs w:val="18"/>
          <w:color w:val="auto"/>
        </w:rPr>
      </w:pPr>
    </w:p>
    <w:p>
      <w:pPr>
        <w:ind w:left="580" w:right="380"/>
        <w:spacing w:after="0" w:line="277" w:lineRule="auto"/>
        <w:rPr>
          <w:rFonts w:ascii="Arial" w:cs="Arial" w:eastAsia="Arial" w:hAnsi="Arial"/>
          <w:sz w:val="18"/>
          <w:szCs w:val="18"/>
          <w:color w:val="auto"/>
        </w:rPr>
      </w:pPr>
      <w:r>
        <w:rPr>
          <w:rFonts w:ascii="Arial" w:cs="Arial" w:eastAsia="Arial" w:hAnsi="Arial"/>
          <w:sz w:val="18"/>
          <w:szCs w:val="18"/>
          <w:color w:val="auto"/>
        </w:rPr>
        <w:t>In the case of an equality of votes either on a show of hands or a poll, the chairman of the meeting shall not have a second or casting vote and the proposed resolution shall fail.</w:t>
      </w:r>
    </w:p>
    <w:p>
      <w:pPr>
        <w:spacing w:after="0" w:line="315"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Seniority of joint holders voting</w:t>
      </w:r>
    </w:p>
    <w:p>
      <w:pPr>
        <w:spacing w:after="0" w:line="121" w:lineRule="exact"/>
        <w:rPr>
          <w:rFonts w:ascii="Arial" w:cs="Arial" w:eastAsia="Arial" w:hAnsi="Arial"/>
          <w:sz w:val="18"/>
          <w:szCs w:val="18"/>
          <w:color w:val="auto"/>
        </w:rPr>
      </w:pPr>
    </w:p>
    <w:p>
      <w:pPr>
        <w:ind w:left="580" w:right="120"/>
        <w:spacing w:after="0" w:line="342" w:lineRule="auto"/>
        <w:rPr>
          <w:rFonts w:ascii="Arial" w:cs="Arial" w:eastAsia="Arial" w:hAnsi="Arial"/>
          <w:sz w:val="18"/>
          <w:szCs w:val="18"/>
          <w:color w:val="auto"/>
        </w:rPr>
      </w:pPr>
      <w:r>
        <w:rPr>
          <w:rFonts w:ascii="Arial" w:cs="Arial" w:eastAsia="Arial" w:hAnsi="Arial"/>
          <w:sz w:val="16"/>
          <w:szCs w:val="16"/>
          <w:color w:val="auto"/>
        </w:rPr>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 of Members.</w:t>
      </w:r>
    </w:p>
    <w:p>
      <w:pPr>
        <w:spacing w:after="0" w:line="268" w:lineRule="exact"/>
        <w:rPr>
          <w:rFonts w:ascii="Arial" w:cs="Arial" w:eastAsia="Arial" w:hAnsi="Arial"/>
          <w:sz w:val="18"/>
          <w:szCs w:val="18"/>
          <w:color w:val="auto"/>
        </w:rPr>
      </w:pPr>
    </w:p>
    <w:p>
      <w:pPr>
        <w:ind w:left="580" w:right="9100" w:hanging="572"/>
        <w:spacing w:after="0" w:line="463" w:lineRule="auto"/>
        <w:tabs>
          <w:tab w:leader="none" w:pos="577" w:val="left"/>
        </w:tabs>
        <w:numPr>
          <w:ilvl w:val="0"/>
          <w:numId w:val="22"/>
        </w:numPr>
        <w:rPr>
          <w:rFonts w:ascii="Arial" w:cs="Arial" w:eastAsia="Arial" w:hAnsi="Arial"/>
          <w:sz w:val="15"/>
          <w:szCs w:val="15"/>
          <w:color w:val="auto"/>
        </w:rPr>
      </w:pPr>
      <w:r>
        <w:rPr>
          <w:rFonts w:ascii="Arial" w:cs="Arial" w:eastAsia="Arial" w:hAnsi="Arial"/>
          <w:sz w:val="15"/>
          <w:szCs w:val="15"/>
          <w:b w:val="1"/>
          <w:bCs w:val="1"/>
          <w:color w:val="auto"/>
        </w:rPr>
        <w:t xml:space="preserve">Objections at meetings </w:t>
      </w:r>
      <w:r>
        <w:rPr>
          <w:rFonts w:ascii="Arial" w:cs="Arial" w:eastAsia="Arial" w:hAnsi="Arial"/>
          <w:sz w:val="15"/>
          <w:szCs w:val="15"/>
          <w:color w:val="auto"/>
        </w:rPr>
        <w:t>If at a general meeting:</w:t>
      </w:r>
    </w:p>
    <w:p>
      <w:pPr>
        <w:ind w:left="1140" w:hanging="565"/>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objection is raised to the qualification of any voter;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votes are counted which should not have been counted or which may have been rejected;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votes are not counted which should have been counted,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21" w:name="page22"/>
    <w:bookmarkEnd w:id="21"/>
    <w:p>
      <w:pPr>
        <w:ind w:left="572"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objection or error shall not vitiate the decision of the meeting on any resolution unless the objection or error is raised or pointed out at the meeting at which the vote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331" w:lineRule="exact"/>
        <w:rPr>
          <w:sz w:val="20"/>
          <w:szCs w:val="20"/>
          <w:color w:val="auto"/>
        </w:rPr>
      </w:pPr>
    </w:p>
    <w:p>
      <w:pPr>
        <w:ind w:left="572" w:hanging="572"/>
        <w:spacing w:after="0"/>
        <w:tabs>
          <w:tab w:leader="none" w:pos="57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Proxies and corporate representatives</w:t>
      </w:r>
    </w:p>
    <w:p>
      <w:pPr>
        <w:spacing w:after="0" w:line="134" w:lineRule="exact"/>
        <w:rPr>
          <w:rFonts w:ascii="Arial" w:cs="Arial" w:eastAsia="Arial" w:hAnsi="Arial"/>
          <w:sz w:val="18"/>
          <w:szCs w:val="18"/>
          <w:color w:val="auto"/>
        </w:rPr>
      </w:pPr>
    </w:p>
    <w:p>
      <w:pPr>
        <w:ind w:left="1132" w:right="200" w:hanging="567"/>
        <w:spacing w:after="0" w:line="291" w:lineRule="auto"/>
        <w:rPr>
          <w:rFonts w:ascii="Arial" w:cs="Arial" w:eastAsia="Arial" w:hAnsi="Arial"/>
          <w:sz w:val="18"/>
          <w:szCs w:val="18"/>
          <w:color w:val="auto"/>
        </w:rPr>
      </w:pPr>
      <w:r>
        <w:rPr>
          <w:rFonts w:ascii="Arial" w:cs="Arial" w:eastAsia="Arial" w:hAnsi="Arial"/>
          <w:sz w:val="16"/>
          <w:szCs w:val="16"/>
          <w:color w:val="auto"/>
        </w:rPr>
        <w:t>36.1 A Member may appoint a standing proxy or (if a corporation) representative by depositing at the Registered Office a proxy or (if a corporation) an authorisation and such proxy or authorisation shall be valid for all general meetings or resolutions in writing until notice of revocation is received at the Registered Office. Where a standing proxy or authorisation exists, its operation shall be deemed to have been suspended at any general meeting at which the Member is present or in respect to which the Member has specially appointed a proxy or representative. The Board may from time to time require such evidence as it shall deem necessary as to the due execution and continuing validity of a standing proxy or authorisation and the operation of that standing proxy or authorisation shall be deemed to be suspended until the Board confirms that it has received and is satisfied with the requested evidence.</w:t>
      </w:r>
    </w:p>
    <w:p>
      <w:pPr>
        <w:spacing w:after="0" w:line="72" w:lineRule="exact"/>
        <w:rPr>
          <w:rFonts w:ascii="Arial" w:cs="Arial" w:eastAsia="Arial" w:hAnsi="Arial"/>
          <w:sz w:val="18"/>
          <w:szCs w:val="18"/>
          <w:color w:val="auto"/>
        </w:rPr>
      </w:pPr>
    </w:p>
    <w:p>
      <w:pPr>
        <w:ind w:left="1132" w:hanging="567"/>
        <w:spacing w:after="0" w:line="264" w:lineRule="auto"/>
        <w:rPr>
          <w:rFonts w:ascii="Arial" w:cs="Arial" w:eastAsia="Arial" w:hAnsi="Arial"/>
          <w:sz w:val="18"/>
          <w:szCs w:val="18"/>
          <w:color w:val="auto"/>
        </w:rPr>
      </w:pPr>
      <w:r>
        <w:rPr>
          <w:rFonts w:ascii="Arial" w:cs="Arial" w:eastAsia="Arial" w:hAnsi="Arial"/>
          <w:sz w:val="18"/>
          <w:szCs w:val="18"/>
          <w:color w:val="auto"/>
        </w:rPr>
        <w:t>36.2 The instrument appointing a proxy shall be in writing in any common form or in such other form as the Board may approve, under the hand of the appointor or of his attorney authorised by him in writing or, if the appointor is a corporation, either under its seal or under the hand of an officer, attorney or other person authorised to sign the same.</w:t>
      </w:r>
    </w:p>
    <w:p>
      <w:pPr>
        <w:spacing w:after="0" w:line="86" w:lineRule="exact"/>
        <w:rPr>
          <w:rFonts w:ascii="Arial" w:cs="Arial" w:eastAsia="Arial" w:hAnsi="Arial"/>
          <w:sz w:val="18"/>
          <w:szCs w:val="18"/>
          <w:color w:val="auto"/>
        </w:rPr>
      </w:pPr>
    </w:p>
    <w:p>
      <w:pPr>
        <w:ind w:left="1132" w:right="20" w:hanging="567"/>
        <w:spacing w:after="0" w:line="276" w:lineRule="auto"/>
        <w:rPr>
          <w:rFonts w:ascii="Arial" w:cs="Arial" w:eastAsia="Arial" w:hAnsi="Arial"/>
          <w:sz w:val="18"/>
          <w:szCs w:val="18"/>
          <w:color w:val="auto"/>
        </w:rPr>
      </w:pPr>
      <w:r>
        <w:rPr>
          <w:rFonts w:ascii="Arial" w:cs="Arial" w:eastAsia="Arial" w:hAnsi="Arial"/>
          <w:sz w:val="17"/>
          <w:szCs w:val="17"/>
          <w:color w:val="auto"/>
        </w:rPr>
        <w:t>36.3 Subject to Bye-law 36.1, the instrument appointing a proxy together with such evidence of due execution as the Board may from time to time require, shall be delivered to the Registered Office (or to such place as may be specified in the notice convening the meeting, or, in the case of a written resolution, in any document sent therewith) prior to the holding of the relevant meeting or, in the case of a poll taken subsequent to the date of a meeting, before the time appointed for taking the poll or, in the case of a written resolution, prior to the effective date of the written resolution and in default the instrument of proxy shall not be treated as valid.</w:t>
      </w:r>
    </w:p>
    <w:p>
      <w:pPr>
        <w:spacing w:after="0" w:line="77" w:lineRule="exact"/>
        <w:rPr>
          <w:rFonts w:ascii="Arial" w:cs="Arial" w:eastAsia="Arial" w:hAnsi="Arial"/>
          <w:sz w:val="18"/>
          <w:szCs w:val="18"/>
          <w:color w:val="auto"/>
        </w:rPr>
      </w:pPr>
    </w:p>
    <w:p>
      <w:pPr>
        <w:ind w:left="1132" w:right="80" w:hanging="567"/>
        <w:spacing w:after="0" w:line="264" w:lineRule="auto"/>
        <w:rPr>
          <w:rFonts w:ascii="Arial" w:cs="Arial" w:eastAsia="Arial" w:hAnsi="Arial"/>
          <w:sz w:val="18"/>
          <w:szCs w:val="18"/>
          <w:color w:val="auto"/>
        </w:rPr>
      </w:pPr>
      <w:r>
        <w:rPr>
          <w:rFonts w:ascii="Arial" w:cs="Arial" w:eastAsia="Arial" w:hAnsi="Arial"/>
          <w:sz w:val="18"/>
          <w:szCs w:val="18"/>
          <w:color w:val="auto"/>
        </w:rPr>
        <w:t>36.4 Subject to the Act, the Board may at its discretion waive any of the provisions of these Bye-laws relating to proxies or authorisations and, in particular, may accept such verbal or other assurances as it thinks fit as to the right of any person to attend and vote on behalf of any Member at general meetings or to sign written resolutions.</w:t>
      </w:r>
    </w:p>
    <w:p>
      <w:pPr>
        <w:spacing w:after="0" w:line="325" w:lineRule="exact"/>
        <w:rPr>
          <w:rFonts w:ascii="Arial" w:cs="Arial" w:eastAsia="Arial" w:hAnsi="Arial"/>
          <w:sz w:val="18"/>
          <w:szCs w:val="18"/>
          <w:color w:val="auto"/>
        </w:rPr>
      </w:pPr>
    </w:p>
    <w:p>
      <w:pPr>
        <w:ind w:left="572" w:hanging="572"/>
        <w:spacing w:after="0"/>
        <w:tabs>
          <w:tab w:leader="none" w:pos="57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Written Resolutions</w:t>
      </w:r>
    </w:p>
    <w:p>
      <w:pPr>
        <w:spacing w:after="0" w:line="134" w:lineRule="exact"/>
        <w:rPr>
          <w:rFonts w:ascii="Arial" w:cs="Arial" w:eastAsia="Arial" w:hAnsi="Arial"/>
          <w:sz w:val="18"/>
          <w:szCs w:val="18"/>
          <w:color w:val="auto"/>
        </w:rPr>
      </w:pPr>
    </w:p>
    <w:p>
      <w:pPr>
        <w:jc w:val="center"/>
        <w:ind w:left="1132" w:right="240" w:hanging="567"/>
        <w:spacing w:after="0" w:line="342" w:lineRule="auto"/>
        <w:rPr>
          <w:rFonts w:ascii="Arial" w:cs="Arial" w:eastAsia="Arial" w:hAnsi="Arial"/>
          <w:sz w:val="18"/>
          <w:szCs w:val="18"/>
          <w:color w:val="auto"/>
        </w:rPr>
      </w:pPr>
      <w:r>
        <w:rPr>
          <w:rFonts w:ascii="Arial" w:cs="Arial" w:eastAsia="Arial" w:hAnsi="Arial"/>
          <w:sz w:val="16"/>
          <w:szCs w:val="16"/>
          <w:color w:val="auto"/>
        </w:rPr>
        <w:t>37.1   Subject to these Bye-laws anything which may be done by Resolution of the Company in general meeting or by Resolution of a meeting of any class of the Members of the Company may, without a meeting be done by written resolution in accordance with this Bye-Law.</w:t>
      </w:r>
    </w:p>
    <w:p>
      <w:pPr>
        <w:spacing w:after="0" w:line="29" w:lineRule="exact"/>
        <w:rPr>
          <w:rFonts w:ascii="Arial" w:cs="Arial" w:eastAsia="Arial" w:hAnsi="Arial"/>
          <w:sz w:val="18"/>
          <w:szCs w:val="18"/>
          <w:color w:val="auto"/>
        </w:rPr>
      </w:pPr>
    </w:p>
    <w:p>
      <w:pPr>
        <w:ind w:left="1132" w:right="20" w:hanging="567"/>
        <w:spacing w:after="0" w:line="259" w:lineRule="auto"/>
        <w:rPr>
          <w:rFonts w:ascii="Arial" w:cs="Arial" w:eastAsia="Arial" w:hAnsi="Arial"/>
          <w:sz w:val="18"/>
          <w:szCs w:val="18"/>
          <w:color w:val="auto"/>
        </w:rPr>
      </w:pPr>
      <w:r>
        <w:rPr>
          <w:rFonts w:ascii="Arial" w:cs="Arial" w:eastAsia="Arial" w:hAnsi="Arial"/>
          <w:sz w:val="18"/>
          <w:szCs w:val="18"/>
          <w:color w:val="auto"/>
        </w:rPr>
        <w:t>37.2 Notice of a written resolution shall be given, and a copy of the resolution shall be circulated, to all Members who would be entitled to attend a meeting and vote on the resolution. The length of the period of notice which would be required for a meeting will not apply. The date of the notice will be set out in the copy of the resolution in writing. The accidental omission to give notice to, or the non-receipt of a notice by, any Member does not invalidate the passing of a resolution.</w:t>
      </w:r>
    </w:p>
    <w:p>
      <w:pPr>
        <w:spacing w:after="0" w:line="92" w:lineRule="exact"/>
        <w:rPr>
          <w:rFonts w:ascii="Arial" w:cs="Arial" w:eastAsia="Arial" w:hAnsi="Arial"/>
          <w:sz w:val="18"/>
          <w:szCs w:val="18"/>
          <w:color w:val="auto"/>
        </w:rPr>
      </w:pPr>
    </w:p>
    <w:p>
      <w:pPr>
        <w:ind w:left="1132" w:right="20" w:hanging="567"/>
        <w:spacing w:after="0" w:line="264" w:lineRule="auto"/>
        <w:rPr>
          <w:rFonts w:ascii="Arial" w:cs="Arial" w:eastAsia="Arial" w:hAnsi="Arial"/>
          <w:sz w:val="18"/>
          <w:szCs w:val="18"/>
          <w:color w:val="auto"/>
        </w:rPr>
      </w:pPr>
      <w:r>
        <w:rPr>
          <w:rFonts w:ascii="Arial" w:cs="Arial" w:eastAsia="Arial" w:hAnsi="Arial"/>
          <w:sz w:val="18"/>
          <w:szCs w:val="18"/>
          <w:color w:val="auto"/>
        </w:rPr>
        <w:t>37.3 A written resolution is passed when it is signed by, or in the case of a Member that is a corporation, on behalf of, the Members who at the date that the notice is given represent such majority of votes as would be required if the resolution was voted on at a meeting of Members at which all Members entitled to attend and vote thereat were present and voting.</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4" w:right="259" w:bottom="1440" w:gutter="0" w:footer="0" w:header="0"/>
        </w:sectPr>
      </w:pPr>
    </w:p>
    <w:bookmarkStart w:id="22" w:name="page23"/>
    <w:bookmarkEnd w:id="22"/>
    <w:p>
      <w:pPr>
        <w:ind w:left="572"/>
        <w:spacing w:after="0"/>
        <w:tabs>
          <w:tab w:leader="none" w:pos="11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37.4</w:t>
      </w:r>
      <w:r>
        <w:rPr>
          <w:sz w:val="20"/>
          <w:szCs w:val="20"/>
          <w:color w:val="auto"/>
        </w:rPr>
        <w:tab/>
      </w:r>
      <w:r>
        <w:rPr>
          <w:rFonts w:ascii="Arial" w:cs="Arial" w:eastAsia="Arial" w:hAnsi="Arial"/>
          <w:sz w:val="16"/>
          <w:szCs w:val="16"/>
          <w:color w:val="auto"/>
        </w:rPr>
        <w:t>A resolution in writing may be signed in any number of counterparts.</w:t>
      </w:r>
    </w:p>
    <w:p>
      <w:pPr>
        <w:spacing w:after="0" w:line="131" w:lineRule="exact"/>
        <w:rPr>
          <w:sz w:val="20"/>
          <w:szCs w:val="20"/>
          <w:color w:val="auto"/>
        </w:rPr>
      </w:pPr>
    </w:p>
    <w:p>
      <w:pPr>
        <w:ind w:left="1132" w:right="80" w:hanging="566"/>
        <w:spacing w:after="0" w:line="286" w:lineRule="auto"/>
        <w:tabs>
          <w:tab w:leader="none" w:pos="1112" w:val="left"/>
        </w:tabs>
        <w:rPr>
          <w:sz w:val="20"/>
          <w:szCs w:val="20"/>
          <w:color w:val="auto"/>
        </w:rPr>
      </w:pPr>
      <w:r>
        <w:rPr>
          <w:rFonts w:ascii="Arial" w:cs="Arial" w:eastAsia="Arial" w:hAnsi="Arial"/>
          <w:sz w:val="18"/>
          <w:szCs w:val="18"/>
          <w:color w:val="auto"/>
        </w:rPr>
        <w:t>37.5</w:t>
      </w:r>
      <w:r>
        <w:rPr>
          <w:sz w:val="20"/>
          <w:szCs w:val="20"/>
          <w:color w:val="auto"/>
        </w:rPr>
        <w:tab/>
      </w:r>
      <w:r>
        <w:rPr>
          <w:rFonts w:ascii="Arial" w:cs="Arial" w:eastAsia="Arial" w:hAnsi="Arial"/>
          <w:sz w:val="17"/>
          <w:szCs w:val="17"/>
          <w:color w:val="auto"/>
        </w:rPr>
        <w:t>A Resolution in writing made in accordance with this Bye-law is as valid as if it has been passed by the Company in general meeting or, if applicable, by a meeting of the relevant class of Members of the Company, as the case may be, any reference in any Bye-Law to a meeting at which a resolution is passed or to Members voting in favour of a resolution shall be construed accordingly.</w:t>
      </w:r>
    </w:p>
    <w:p>
      <w:pPr>
        <w:spacing w:after="0" w:line="71"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37.6</w:t>
      </w:r>
      <w:r>
        <w:rPr>
          <w:sz w:val="20"/>
          <w:szCs w:val="20"/>
          <w:color w:val="auto"/>
        </w:rPr>
        <w:tab/>
      </w:r>
      <w:r>
        <w:rPr>
          <w:rFonts w:ascii="Arial" w:cs="Arial" w:eastAsia="Arial" w:hAnsi="Arial"/>
          <w:sz w:val="16"/>
          <w:szCs w:val="16"/>
          <w:color w:val="auto"/>
        </w:rPr>
        <w:t>A resolution in writing made in accordance with this Bye-Law shall constitute minutes for the purposes of the Act and these Bye-laws.</w:t>
      </w:r>
    </w:p>
    <w:p>
      <w:pPr>
        <w:spacing w:after="0" w:line="131"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37.7</w:t>
      </w:r>
      <w:r>
        <w:rPr>
          <w:sz w:val="20"/>
          <w:szCs w:val="20"/>
          <w:color w:val="auto"/>
        </w:rPr>
        <w:tab/>
      </w:r>
      <w:r>
        <w:rPr>
          <w:rFonts w:ascii="Arial" w:cs="Arial" w:eastAsia="Arial" w:hAnsi="Arial"/>
          <w:sz w:val="16"/>
          <w:szCs w:val="16"/>
          <w:color w:val="auto"/>
        </w:rPr>
        <w:t>This Bye-law 37 shall not apply to:</w:t>
      </w:r>
    </w:p>
    <w:p>
      <w:pPr>
        <w:spacing w:after="0" w:line="131" w:lineRule="exact"/>
        <w:rPr>
          <w:sz w:val="20"/>
          <w:szCs w:val="20"/>
          <w:color w:val="auto"/>
        </w:rPr>
      </w:pPr>
    </w:p>
    <w:p>
      <w:pPr>
        <w:ind w:left="1132" w:hanging="565"/>
        <w:spacing w:after="0"/>
        <w:tabs>
          <w:tab w:leader="none" w:pos="11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Resolution passed to remove an Auditor from office before the expiration of his term of office; or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Resolution passed for the purpose of removing a Director before the expiration of his term of office under these Bye-laws.</w:t>
      </w:r>
    </w:p>
    <w:p>
      <w:pPr>
        <w:spacing w:after="0" w:line="200" w:lineRule="exact"/>
        <w:rPr>
          <w:sz w:val="20"/>
          <w:szCs w:val="20"/>
          <w:color w:val="auto"/>
        </w:rPr>
      </w:pPr>
    </w:p>
    <w:p>
      <w:pPr>
        <w:spacing w:after="0" w:line="23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BOARD OF DIRECTORS</w:t>
      </w:r>
    </w:p>
    <w:p>
      <w:pPr>
        <w:spacing w:after="0" w:line="252" w:lineRule="exact"/>
        <w:rPr>
          <w:sz w:val="20"/>
          <w:szCs w:val="20"/>
          <w:color w:val="auto"/>
        </w:rPr>
      </w:pPr>
    </w:p>
    <w:p>
      <w:pPr>
        <w:ind w:left="572" w:hanging="572"/>
        <w:spacing w:after="0"/>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Appointment and removal of Directors</w:t>
      </w:r>
    </w:p>
    <w:p>
      <w:pPr>
        <w:spacing w:after="0" w:line="134" w:lineRule="exact"/>
        <w:rPr>
          <w:rFonts w:ascii="Arial" w:cs="Arial" w:eastAsia="Arial" w:hAnsi="Arial"/>
          <w:sz w:val="18"/>
          <w:szCs w:val="18"/>
          <w:color w:val="auto"/>
        </w:rPr>
      </w:pPr>
    </w:p>
    <w:p>
      <w:pPr>
        <w:ind w:left="1132" w:hanging="567"/>
        <w:spacing w:after="0" w:line="255" w:lineRule="auto"/>
        <w:rPr>
          <w:rFonts w:ascii="Arial" w:cs="Arial" w:eastAsia="Arial" w:hAnsi="Arial"/>
          <w:sz w:val="18"/>
          <w:szCs w:val="18"/>
          <w:color w:val="auto"/>
        </w:rPr>
      </w:pPr>
      <w:r>
        <w:rPr>
          <w:rFonts w:ascii="Arial" w:cs="Arial" w:eastAsia="Arial" w:hAnsi="Arial"/>
          <w:sz w:val="18"/>
          <w:szCs w:val="18"/>
          <w:color w:val="auto"/>
        </w:rPr>
        <w:t>38.1 The Board shall consist of one or more Directors as determined by the Company by Resolution from time to time who shall be elected or appointed in the first place at the statutory meeting and thereafter, except in the case of a casual vacancy, at the annual general meeting or any special general meeting called for the purpose and who shall hold office for such term as the Members may determine or, in the absence of such determination, until the next annual general meeting or until their successors are elected or appointed or their office is otherwise vacated. Without prejudice to the power of the Company by Resolution to appoint any person to be a Director in accordance with these Bye-laws, the Board, so long as a quorum of Directors remains in office, shall have power at any time and from time to time to appoint any individual to be a Director so as to fill a casual vacancy.</w:t>
      </w:r>
    </w:p>
    <w:p>
      <w:pPr>
        <w:spacing w:after="0" w:line="94" w:lineRule="exact"/>
        <w:rPr>
          <w:rFonts w:ascii="Arial" w:cs="Arial" w:eastAsia="Arial" w:hAnsi="Arial"/>
          <w:sz w:val="18"/>
          <w:szCs w:val="18"/>
          <w:color w:val="auto"/>
        </w:rPr>
      </w:pPr>
    </w:p>
    <w:p>
      <w:pPr>
        <w:ind w:left="1132" w:right="20" w:hanging="567"/>
        <w:spacing w:after="0" w:line="259" w:lineRule="auto"/>
        <w:rPr>
          <w:rFonts w:ascii="Arial" w:cs="Arial" w:eastAsia="Arial" w:hAnsi="Arial"/>
          <w:sz w:val="18"/>
          <w:szCs w:val="18"/>
          <w:color w:val="auto"/>
        </w:rPr>
      </w:pPr>
      <w:r>
        <w:rPr>
          <w:rFonts w:ascii="Arial" w:cs="Arial" w:eastAsia="Arial" w:hAnsi="Arial"/>
          <w:sz w:val="18"/>
          <w:szCs w:val="18"/>
          <w:color w:val="auto"/>
        </w:rPr>
        <w:t>38.2 The Company may, at a special general meeting called for that purpose, remove a Director, provided that notice of the meeting is served upon the Director concerned not less than 14 days before the meeting and the Director will be entitled to be heard at the meeting. Any vacancy created by the removal of the Director may be filled at the special general meeting by the election of a new director in his place, or in the absence of such election, by the Board.</w:t>
      </w:r>
    </w:p>
    <w:p>
      <w:pPr>
        <w:spacing w:after="0" w:line="331" w:lineRule="exact"/>
        <w:rPr>
          <w:rFonts w:ascii="Arial" w:cs="Arial" w:eastAsia="Arial" w:hAnsi="Arial"/>
          <w:sz w:val="18"/>
          <w:szCs w:val="18"/>
          <w:color w:val="auto"/>
        </w:rPr>
      </w:pPr>
    </w:p>
    <w:p>
      <w:pPr>
        <w:ind w:left="572" w:hanging="572"/>
        <w:spacing w:after="0"/>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Resignation and Disqualification of Directors</w:t>
      </w:r>
    </w:p>
    <w:p>
      <w:pPr>
        <w:spacing w:after="0" w:line="121"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office of a Director shall be vacated if the Director: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resigns by notice in writing to the Company;</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or becomes of unsound mind or dies;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or becomes bankrupt or makes any arrangement or composition with his creditors;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prohibited by law from being a Director;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ceases to be a Director by virtue of the Act or is removed from office pursuant to these Bye-laws.</w:t>
      </w:r>
    </w:p>
    <w:p>
      <w:pPr>
        <w:spacing w:after="0" w:line="369" w:lineRule="exact"/>
        <w:rPr>
          <w:rFonts w:ascii="Arial" w:cs="Arial" w:eastAsia="Arial" w:hAnsi="Arial"/>
          <w:sz w:val="18"/>
          <w:szCs w:val="18"/>
          <w:color w:val="auto"/>
        </w:rPr>
      </w:pPr>
    </w:p>
    <w:p>
      <w:pPr>
        <w:ind w:left="572" w:hanging="572"/>
        <w:spacing w:after="0"/>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Alternate Directors</w:t>
      </w:r>
    </w:p>
    <w:p>
      <w:pPr>
        <w:spacing w:after="0" w:line="134" w:lineRule="exact"/>
        <w:rPr>
          <w:rFonts w:ascii="Arial" w:cs="Arial" w:eastAsia="Arial" w:hAnsi="Arial"/>
          <w:sz w:val="18"/>
          <w:szCs w:val="18"/>
          <w:color w:val="auto"/>
        </w:rPr>
      </w:pPr>
    </w:p>
    <w:p>
      <w:pPr>
        <w:ind w:left="1132" w:right="20" w:hanging="567"/>
        <w:spacing w:after="0" w:line="277" w:lineRule="auto"/>
        <w:rPr>
          <w:rFonts w:ascii="Arial" w:cs="Arial" w:eastAsia="Arial" w:hAnsi="Arial"/>
          <w:sz w:val="18"/>
          <w:szCs w:val="18"/>
          <w:color w:val="auto"/>
        </w:rPr>
      </w:pPr>
      <w:r>
        <w:rPr>
          <w:rFonts w:ascii="Arial" w:cs="Arial" w:eastAsia="Arial" w:hAnsi="Arial"/>
          <w:sz w:val="18"/>
          <w:szCs w:val="18"/>
          <w:color w:val="auto"/>
        </w:rPr>
        <w:t>40.1 The Company may by Resolution elect any person or persons to act as Directors in the alternative to any of the Directors or may authorise the Board to appoint such Alternate Directors. Unless the Members otherwise resolve, any Director may appoint and</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72"/>
          </w:cols>
          <w:pgMar w:left="248" w:top="274" w:right="279" w:bottom="1440" w:gutter="0" w:footer="0" w:header="0"/>
        </w:sectPr>
      </w:pPr>
    </w:p>
    <w:bookmarkStart w:id="23" w:name="page24"/>
    <w:bookmarkEnd w:id="23"/>
    <w:p>
      <w:pPr>
        <w:jc w:val="both"/>
        <w:ind w:left="1132"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remove his own Alternate Director by written or verbal notice to the Secretary. Any Alternate Director may be removed by Resolution of the Company and, if appointed by the Board, may be removed by the Board. Subject as aforesaid, the office of Alternate Director shall continue until the next annual election of Directors or, if earlier, the date on which the relevant Director ceases to be a Director. An Alternate Director may also be a Director in his own right and may act as alternate to more than one Director.</w:t>
      </w:r>
    </w:p>
    <w:p>
      <w:pPr>
        <w:spacing w:after="0" w:line="77" w:lineRule="exact"/>
        <w:rPr>
          <w:sz w:val="20"/>
          <w:szCs w:val="20"/>
          <w:color w:val="auto"/>
        </w:rPr>
      </w:pPr>
    </w:p>
    <w:p>
      <w:pPr>
        <w:ind w:left="1132" w:right="180" w:hanging="566"/>
        <w:spacing w:after="0" w:line="342" w:lineRule="auto"/>
        <w:tabs>
          <w:tab w:leader="none" w:pos="1112"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color w:val="auto"/>
        </w:rPr>
        <w:t>An Alternate Director shall have the rights and powers of the Director or Directors for whom such person is appointed in the alternative provided that such person shall not be counted more than once in determining whether or not a quorum is present at a meeting of the Board.</w:t>
      </w:r>
    </w:p>
    <w:p>
      <w:pPr>
        <w:spacing w:after="0" w:line="29" w:lineRule="exact"/>
        <w:rPr>
          <w:sz w:val="20"/>
          <w:szCs w:val="20"/>
          <w:color w:val="auto"/>
        </w:rPr>
      </w:pPr>
    </w:p>
    <w:p>
      <w:pPr>
        <w:jc w:val="right"/>
        <w:ind w:left="572" w:right="60"/>
        <w:spacing w:after="0" w:line="342" w:lineRule="auto"/>
        <w:rPr>
          <w:sz w:val="20"/>
          <w:szCs w:val="20"/>
          <w:color w:val="auto"/>
        </w:rPr>
      </w:pPr>
      <w:r>
        <w:rPr>
          <w:rFonts w:ascii="Arial" w:cs="Arial" w:eastAsia="Arial" w:hAnsi="Arial"/>
          <w:sz w:val="16"/>
          <w:szCs w:val="16"/>
          <w:color w:val="auto"/>
        </w:rPr>
        <w:t>40.3   An Alternate Director shall be entitled to receive notice of all meetings of the Board and to attend and vote at any such meeting at which any Director for whom he is alternate is not personally present, and generally to perform all the functions of any Director to whom he is alternate.</w:t>
      </w:r>
    </w:p>
    <w:p>
      <w:pPr>
        <w:spacing w:after="0" w:line="29" w:lineRule="exact"/>
        <w:rPr>
          <w:sz w:val="20"/>
          <w:szCs w:val="20"/>
          <w:color w:val="auto"/>
        </w:rPr>
      </w:pPr>
    </w:p>
    <w:p>
      <w:pPr>
        <w:ind w:left="1132" w:right="20" w:hanging="566"/>
        <w:spacing w:after="0" w:line="291" w:lineRule="auto"/>
        <w:tabs>
          <w:tab w:leader="none" w:pos="1112"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color w:val="auto"/>
        </w:rPr>
        <w:t>A person acting as an Alternate Director shall (except as regards powers to appoint an alternate and remuneration) be subject in all respects to the provisions of these Bye-laws relating to Directors and shall alone be responsible to the Company for his acts and defaults and shall not be deemed to be the agent of or for any Director for whom he is alternate. An Alternate Director may be paid expenses and shall be entitled to be indemnified by the Company to the same extent mutatis mutandis as if he were a Director. Every person acting as an Alternate Director shall have one vote for each Director for whom he acts as alternate (in addition to his own vote if he is also a Director). The signature of an Alternate Director to any resolution in writing of the Board or a committee of the Board shall, unless the terms of his appointment provides to the contrary, be as effective as the signature of the Director or Directors to whom he is alternate.</w:t>
      </w:r>
    </w:p>
    <w:p>
      <w:pPr>
        <w:spacing w:after="0" w:line="312" w:lineRule="exact"/>
        <w:rPr>
          <w:sz w:val="20"/>
          <w:szCs w:val="20"/>
          <w:color w:val="auto"/>
        </w:rPr>
      </w:pPr>
    </w:p>
    <w:p>
      <w:pPr>
        <w:ind w:left="572" w:hanging="572"/>
        <w:spacing w:after="0"/>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Register of Directors and Officers</w:t>
      </w:r>
    </w:p>
    <w:p>
      <w:pPr>
        <w:spacing w:after="0" w:line="121" w:lineRule="exact"/>
        <w:rPr>
          <w:rFonts w:ascii="Arial" w:cs="Arial" w:eastAsia="Arial" w:hAnsi="Arial"/>
          <w:sz w:val="18"/>
          <w:szCs w:val="18"/>
          <w:color w:val="auto"/>
        </w:rPr>
      </w:pPr>
    </w:p>
    <w:p>
      <w:pPr>
        <w:ind w:left="572" w:right="40"/>
        <w:spacing w:after="0" w:line="277" w:lineRule="auto"/>
        <w:rPr>
          <w:rFonts w:ascii="Arial" w:cs="Arial" w:eastAsia="Arial" w:hAnsi="Arial"/>
          <w:sz w:val="18"/>
          <w:szCs w:val="18"/>
          <w:color w:val="auto"/>
        </w:rPr>
      </w:pPr>
      <w:r>
        <w:rPr>
          <w:rFonts w:ascii="Arial" w:cs="Arial" w:eastAsia="Arial" w:hAnsi="Arial"/>
          <w:sz w:val="18"/>
          <w:szCs w:val="18"/>
          <w:color w:val="auto"/>
        </w:rPr>
        <w:t>The Secretary shall establish and maintain a Register of Directors and Officers as required by the Act. The Register of Directors and Officers shall be open to inspection in the manner prescribed by the Act between 10:00 a.m. and 12:00 noon on every working day.</w:t>
      </w:r>
    </w:p>
    <w:p>
      <w:pPr>
        <w:spacing w:after="0" w:line="315" w:lineRule="exact"/>
        <w:rPr>
          <w:rFonts w:ascii="Arial" w:cs="Arial" w:eastAsia="Arial" w:hAnsi="Arial"/>
          <w:sz w:val="18"/>
          <w:szCs w:val="18"/>
          <w:color w:val="auto"/>
        </w:rPr>
      </w:pPr>
    </w:p>
    <w:p>
      <w:pPr>
        <w:ind w:left="572" w:hanging="572"/>
        <w:spacing w:after="0"/>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Directors’ fees and additional remuneration and expenses</w:t>
      </w:r>
    </w:p>
    <w:p>
      <w:pPr>
        <w:spacing w:after="0" w:line="121" w:lineRule="exact"/>
        <w:rPr>
          <w:rFonts w:ascii="Arial" w:cs="Arial" w:eastAsia="Arial" w:hAnsi="Arial"/>
          <w:sz w:val="18"/>
          <w:szCs w:val="18"/>
          <w:color w:val="auto"/>
        </w:rPr>
      </w:pPr>
    </w:p>
    <w:p>
      <w:pPr>
        <w:ind w:left="572" w:right="100"/>
        <w:spacing w:after="0" w:line="259" w:lineRule="auto"/>
        <w:rPr>
          <w:rFonts w:ascii="Arial" w:cs="Arial" w:eastAsia="Arial" w:hAnsi="Arial"/>
          <w:sz w:val="18"/>
          <w:szCs w:val="18"/>
          <w:color w:val="auto"/>
        </w:rPr>
      </w:pPr>
      <w:r>
        <w:rPr>
          <w:rFonts w:ascii="Arial" w:cs="Arial" w:eastAsia="Arial" w:hAnsi="Arial"/>
          <w:sz w:val="18"/>
          <w:szCs w:val="18"/>
          <w:color w:val="auto"/>
        </w:rPr>
        <w:t>The remuneration (if any) of the Directors shall be determined from time to time by the Company by Resolution and shall be deemed to accrue from day to day. A Director may also be paid all travel, hotel and incidental expenses properly incurred in attending and returning from meetings of the Board, committees appointed by the Board, general meetings of the Company, or in connection with the business of the Company or his duties as a Director generally.</w:t>
      </w:r>
    </w:p>
    <w:p>
      <w:pPr>
        <w:spacing w:after="0" w:line="331" w:lineRule="exact"/>
        <w:rPr>
          <w:rFonts w:ascii="Arial" w:cs="Arial" w:eastAsia="Arial" w:hAnsi="Arial"/>
          <w:sz w:val="18"/>
          <w:szCs w:val="18"/>
          <w:color w:val="auto"/>
        </w:rPr>
      </w:pPr>
    </w:p>
    <w:p>
      <w:pPr>
        <w:ind w:left="572" w:hanging="572"/>
        <w:spacing w:after="0"/>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Directors’ interests</w:t>
      </w:r>
    </w:p>
    <w:p>
      <w:pPr>
        <w:spacing w:after="0" w:line="134" w:lineRule="exact"/>
        <w:rPr>
          <w:rFonts w:ascii="Arial" w:cs="Arial" w:eastAsia="Arial" w:hAnsi="Arial"/>
          <w:sz w:val="18"/>
          <w:szCs w:val="18"/>
          <w:color w:val="auto"/>
        </w:rPr>
      </w:pPr>
    </w:p>
    <w:p>
      <w:pPr>
        <w:ind w:left="1132" w:right="60" w:hanging="567"/>
        <w:spacing w:after="0" w:line="259" w:lineRule="auto"/>
        <w:rPr>
          <w:rFonts w:ascii="Arial" w:cs="Arial" w:eastAsia="Arial" w:hAnsi="Arial"/>
          <w:sz w:val="18"/>
          <w:szCs w:val="18"/>
          <w:color w:val="auto"/>
        </w:rPr>
      </w:pPr>
      <w:r>
        <w:rPr>
          <w:rFonts w:ascii="Arial" w:cs="Arial" w:eastAsia="Arial" w:hAnsi="Arial"/>
          <w:sz w:val="18"/>
          <w:szCs w:val="18"/>
          <w:color w:val="auto"/>
        </w:rPr>
        <w:t>43.1 A Director, or a Director’s firm, partner or any company with whom a Director is associated, may act in a professional capacity for the Company and that Director or that Director’s firm, partner or such company shall be entitled to remuneration for professional services as if such Director were not a Director, provided that nothing in this Bye-law shall authorise a Director or a Director’s firm, partner or company to act as Auditor of the Company.</w:t>
      </w:r>
    </w:p>
    <w:p>
      <w:pPr>
        <w:spacing w:after="0" w:line="92" w:lineRule="exact"/>
        <w:rPr>
          <w:rFonts w:ascii="Arial" w:cs="Arial" w:eastAsia="Arial" w:hAnsi="Arial"/>
          <w:sz w:val="18"/>
          <w:szCs w:val="18"/>
          <w:color w:val="auto"/>
        </w:rPr>
      </w:pPr>
    </w:p>
    <w:p>
      <w:pPr>
        <w:ind w:left="1132" w:hanging="567"/>
        <w:spacing w:after="0" w:line="277" w:lineRule="auto"/>
        <w:rPr>
          <w:rFonts w:ascii="Arial" w:cs="Arial" w:eastAsia="Arial" w:hAnsi="Arial"/>
          <w:sz w:val="18"/>
          <w:szCs w:val="18"/>
          <w:color w:val="auto"/>
        </w:rPr>
      </w:pPr>
      <w:r>
        <w:rPr>
          <w:rFonts w:ascii="Arial" w:cs="Arial" w:eastAsia="Arial" w:hAnsi="Arial"/>
          <w:sz w:val="18"/>
          <w:szCs w:val="18"/>
          <w:color w:val="auto"/>
        </w:rPr>
        <w:t>43.2 A Director who is directly or indirectly interested in a contract or proposed contract or arrangement with the Company shall declare the nature of his interest at the first opportunity at a meeting of the Board or by writing to the Directors as required by the Act.</w:t>
      </w:r>
    </w:p>
    <w:p>
      <w:pPr>
        <w:spacing w:after="0" w:line="75" w:lineRule="exact"/>
        <w:rPr>
          <w:rFonts w:ascii="Arial" w:cs="Arial" w:eastAsia="Arial" w:hAnsi="Arial"/>
          <w:sz w:val="18"/>
          <w:szCs w:val="18"/>
          <w:color w:val="auto"/>
        </w:rPr>
      </w:pPr>
    </w:p>
    <w:p>
      <w:pPr>
        <w:ind w:left="1132" w:right="120" w:hanging="567"/>
        <w:spacing w:after="0" w:line="264" w:lineRule="auto"/>
        <w:rPr>
          <w:rFonts w:ascii="Arial" w:cs="Arial" w:eastAsia="Arial" w:hAnsi="Arial"/>
          <w:sz w:val="18"/>
          <w:szCs w:val="18"/>
          <w:color w:val="auto"/>
        </w:rPr>
      </w:pPr>
      <w:r>
        <w:rPr>
          <w:rFonts w:ascii="Arial" w:cs="Arial" w:eastAsia="Arial" w:hAnsi="Arial"/>
          <w:sz w:val="18"/>
          <w:szCs w:val="18"/>
          <w:color w:val="auto"/>
        </w:rPr>
        <w:t>43.3 Following a declaration being made pursuant to Bye-law 43.2, and unless disqualified by the chairman of the relevant Board meeting, a Director may vote in respect of any contract or proposed contract or arrangement in which such Director is interested and may be counted in the quorum at such meeting.</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72"/>
          </w:cols>
          <w:pgMar w:left="248" w:top="274" w:right="2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POWERS AND DUTIES OF THE BOARD</w:t>
      </w:r>
    </w:p>
    <w:p>
      <w:pPr>
        <w:spacing w:after="0" w:line="252"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Management of the Company</w:t>
      </w:r>
    </w:p>
    <w:p>
      <w:pPr>
        <w:spacing w:after="0" w:line="134" w:lineRule="exact"/>
        <w:rPr>
          <w:rFonts w:ascii="Arial" w:cs="Arial" w:eastAsia="Arial" w:hAnsi="Arial"/>
          <w:sz w:val="18"/>
          <w:szCs w:val="18"/>
          <w:color w:val="auto"/>
        </w:rPr>
      </w:pPr>
    </w:p>
    <w:p>
      <w:pPr>
        <w:ind w:left="1140" w:right="80" w:hanging="567"/>
        <w:spacing w:after="0" w:line="264" w:lineRule="auto"/>
        <w:rPr>
          <w:rFonts w:ascii="Arial" w:cs="Arial" w:eastAsia="Arial" w:hAnsi="Arial"/>
          <w:sz w:val="18"/>
          <w:szCs w:val="18"/>
          <w:color w:val="auto"/>
        </w:rPr>
      </w:pPr>
      <w:r>
        <w:rPr>
          <w:rFonts w:ascii="Arial" w:cs="Arial" w:eastAsia="Arial" w:hAnsi="Arial"/>
          <w:sz w:val="18"/>
          <w:szCs w:val="18"/>
          <w:color w:val="auto"/>
        </w:rPr>
        <w:t>44.1 In managing the business of the Company, the Board may exercise all such powers of the Company as are not by statute or by these Bye-laws required to be exercised by the Company in general meeting subject to the Act, these Bye-laws and to any directions given by the Company by Resolution.</w:t>
      </w:r>
    </w:p>
    <w:p>
      <w:pPr>
        <w:spacing w:after="0" w:line="86" w:lineRule="exact"/>
        <w:rPr>
          <w:rFonts w:ascii="Arial" w:cs="Arial" w:eastAsia="Arial" w:hAnsi="Arial"/>
          <w:sz w:val="18"/>
          <w:szCs w:val="18"/>
          <w:color w:val="auto"/>
        </w:rPr>
      </w:pPr>
    </w:p>
    <w:p>
      <w:pPr>
        <w:ind w:left="1140" w:right="40" w:hanging="567"/>
        <w:spacing w:after="0" w:line="279" w:lineRule="auto"/>
        <w:rPr>
          <w:rFonts w:ascii="Arial" w:cs="Arial" w:eastAsia="Arial" w:hAnsi="Arial"/>
          <w:sz w:val="18"/>
          <w:szCs w:val="18"/>
          <w:color w:val="auto"/>
        </w:rPr>
      </w:pPr>
      <w:r>
        <w:rPr>
          <w:rFonts w:ascii="Arial" w:cs="Arial" w:eastAsia="Arial" w:hAnsi="Arial"/>
          <w:sz w:val="17"/>
          <w:szCs w:val="17"/>
          <w:color w:val="auto"/>
        </w:rPr>
        <w:t>44.2 No direction or alteration of these Bye-laws made by the Company in general meeting shall invalidate any prior act of the Board which would have been valid if that direction or alteration had not been made. The powers given by this Bye-law shall not be limited by any special power given to the Board by these Bye-laws and a meeting of the Board at which a quorum is present shall be competent to exercise all the powers, authorities and discretions for the time being vested in or exercisable by the Board.</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44.3   The Board may procure that the Company pays all expenses incurred in promoting and incorporating the Company.</w:t>
      </w:r>
    </w:p>
    <w:p>
      <w:pPr>
        <w:spacing w:after="0" w:line="369"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Power to borrow and charge property</w:t>
      </w:r>
    </w:p>
    <w:p>
      <w:pPr>
        <w:spacing w:after="0" w:line="121" w:lineRule="exact"/>
        <w:rPr>
          <w:rFonts w:ascii="Arial" w:cs="Arial" w:eastAsia="Arial" w:hAnsi="Arial"/>
          <w:sz w:val="18"/>
          <w:szCs w:val="18"/>
          <w:color w:val="auto"/>
        </w:rPr>
      </w:pPr>
    </w:p>
    <w:p>
      <w:pPr>
        <w:ind w:left="580" w:right="100"/>
        <w:spacing w:after="0" w:line="264" w:lineRule="auto"/>
        <w:rPr>
          <w:rFonts w:ascii="Arial" w:cs="Arial" w:eastAsia="Arial" w:hAnsi="Arial"/>
          <w:sz w:val="18"/>
          <w:szCs w:val="18"/>
          <w:color w:val="auto"/>
        </w:rPr>
      </w:pPr>
      <w:r>
        <w:rPr>
          <w:rFonts w:ascii="Arial" w:cs="Arial" w:eastAsia="Arial" w:hAnsi="Arial"/>
          <w:sz w:val="18"/>
          <w:szCs w:val="18"/>
          <w:color w:val="auto"/>
        </w:rPr>
        <w:t>The Board may exercise all the powers of the Company to borrow money and to mortgage or charge all or any part of the undertaking, property and assets (present and future) and uncalled capital of the Company and to issue debentures and other securities, whether outright or as collateral security for any debt, liability or obligation of the Company or of any other persons.</w:t>
      </w:r>
    </w:p>
    <w:p>
      <w:pPr>
        <w:spacing w:after="0" w:line="325"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Power to provide benefits</w:t>
      </w:r>
    </w:p>
    <w:p>
      <w:pPr>
        <w:spacing w:after="0" w:line="121" w:lineRule="exact"/>
        <w:rPr>
          <w:rFonts w:ascii="Arial" w:cs="Arial" w:eastAsia="Arial" w:hAnsi="Arial"/>
          <w:sz w:val="18"/>
          <w:szCs w:val="18"/>
          <w:color w:val="auto"/>
        </w:rPr>
      </w:pPr>
    </w:p>
    <w:p>
      <w:pPr>
        <w:ind w:left="580" w:right="100"/>
        <w:spacing w:after="0" w:line="302" w:lineRule="auto"/>
        <w:rPr>
          <w:rFonts w:ascii="Arial" w:cs="Arial" w:eastAsia="Arial" w:hAnsi="Arial"/>
          <w:sz w:val="18"/>
          <w:szCs w:val="18"/>
          <w:color w:val="auto"/>
        </w:rPr>
      </w:pPr>
      <w:r>
        <w:rPr>
          <w:rFonts w:ascii="Arial" w:cs="Arial" w:eastAsia="Arial" w:hAnsi="Arial"/>
          <w:sz w:val="16"/>
          <w:szCs w:val="16"/>
          <w:color w:val="auto"/>
        </w:rPr>
        <w:t>The Board on behalf of the Company may provide benefits for any person including any Director or former Director who has held any executive office or employment with the Company or with any body corporate which is or has been a subsidiary or affiliate of the Company or a predecessor in the business of the Company or of any such subsidiary or affiliate, and to any member of his family or any person who is or was dependent on him, and may contribute to any fund and pay premiums for the purchase or provision of any such benefit, or for the insurance of any such person.</w:t>
      </w:r>
    </w:p>
    <w:p>
      <w:pPr>
        <w:spacing w:after="0" w:line="298"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Power to appoint managing director or chief executive officer</w:t>
      </w:r>
    </w:p>
    <w:p>
      <w:pPr>
        <w:spacing w:after="0" w:line="121" w:lineRule="exact"/>
        <w:rPr>
          <w:rFonts w:ascii="Arial" w:cs="Arial" w:eastAsia="Arial" w:hAnsi="Arial"/>
          <w:sz w:val="18"/>
          <w:szCs w:val="18"/>
          <w:color w:val="auto"/>
        </w:rPr>
      </w:pPr>
    </w:p>
    <w:p>
      <w:pPr>
        <w:ind w:left="580" w:right="20"/>
        <w:spacing w:after="0" w:line="264" w:lineRule="auto"/>
        <w:rPr>
          <w:rFonts w:ascii="Arial" w:cs="Arial" w:eastAsia="Arial" w:hAnsi="Arial"/>
          <w:sz w:val="18"/>
          <w:szCs w:val="18"/>
          <w:color w:val="auto"/>
        </w:rPr>
      </w:pPr>
      <w:r>
        <w:rPr>
          <w:rFonts w:ascii="Arial" w:cs="Arial" w:eastAsia="Arial" w:hAnsi="Arial"/>
          <w:sz w:val="18"/>
          <w:szCs w:val="18"/>
          <w:color w:val="auto"/>
        </w:rPr>
        <w:t>The Board may from time to time appoint one or more of the Directors to be managing director or chief executive officer of the Company who shall, subject to control of the Board, supervise and administer all of the general business and affairs of the Company. The terms of any such appointment as to period and remuneration (if any) shall be determined by the Board.</w:t>
      </w:r>
    </w:p>
    <w:p>
      <w:pPr>
        <w:spacing w:after="0" w:line="325"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Power to appoint manager and to appoint and dismiss employees</w:t>
      </w:r>
    </w:p>
    <w:p>
      <w:pPr>
        <w:spacing w:after="0" w:line="134" w:lineRule="exact"/>
        <w:rPr>
          <w:rFonts w:ascii="Arial" w:cs="Arial" w:eastAsia="Arial" w:hAnsi="Arial"/>
          <w:sz w:val="18"/>
          <w:szCs w:val="18"/>
          <w:color w:val="auto"/>
        </w:rPr>
      </w:pPr>
    </w:p>
    <w:p>
      <w:pPr>
        <w:ind w:left="1140" w:right="20" w:hanging="567"/>
        <w:spacing w:after="0" w:line="277" w:lineRule="auto"/>
        <w:rPr>
          <w:rFonts w:ascii="Arial" w:cs="Arial" w:eastAsia="Arial" w:hAnsi="Arial"/>
          <w:sz w:val="18"/>
          <w:szCs w:val="18"/>
          <w:color w:val="auto"/>
        </w:rPr>
      </w:pPr>
      <w:r>
        <w:rPr>
          <w:rFonts w:ascii="Arial" w:cs="Arial" w:eastAsia="Arial" w:hAnsi="Arial"/>
          <w:sz w:val="18"/>
          <w:szCs w:val="18"/>
          <w:color w:val="auto"/>
        </w:rPr>
        <w:t>48.1 The Board may appoint a person to act as manager of the Company’s day to day business and may entrust and confer upon such manager such powers and duties as it deems appropriate for the transaction or conduct of such business.</w:t>
      </w:r>
    </w:p>
    <w:p>
      <w:pPr>
        <w:spacing w:after="0" w:line="7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7"/>
          <w:szCs w:val="17"/>
          <w:color w:val="auto"/>
        </w:rPr>
        <w:t>48.2   The Board may appoint, suspend or remove any employee of the Company and may fix his remuneration and determine his duties.</w:t>
      </w:r>
    </w:p>
    <w:p>
      <w:pPr>
        <w:spacing w:after="0" w:line="381"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Power to authorise specific actions and appoint attorney</w:t>
      </w:r>
    </w:p>
    <w:p>
      <w:pPr>
        <w:spacing w:after="0" w:line="134" w:lineRule="exact"/>
        <w:rPr>
          <w:rFonts w:ascii="Arial" w:cs="Arial" w:eastAsia="Arial" w:hAnsi="Arial"/>
          <w:sz w:val="18"/>
          <w:szCs w:val="18"/>
          <w:color w:val="auto"/>
        </w:rPr>
      </w:pPr>
    </w:p>
    <w:p>
      <w:pPr>
        <w:ind w:left="1140" w:right="540" w:hanging="567"/>
        <w:spacing w:after="0" w:line="277" w:lineRule="auto"/>
        <w:rPr>
          <w:rFonts w:ascii="Arial" w:cs="Arial" w:eastAsia="Arial" w:hAnsi="Arial"/>
          <w:sz w:val="18"/>
          <w:szCs w:val="18"/>
          <w:color w:val="auto"/>
        </w:rPr>
      </w:pPr>
      <w:r>
        <w:rPr>
          <w:rFonts w:ascii="Arial" w:cs="Arial" w:eastAsia="Arial" w:hAnsi="Arial"/>
          <w:sz w:val="18"/>
          <w:szCs w:val="18"/>
          <w:color w:val="auto"/>
        </w:rPr>
        <w:t>49.1 The Board may from time to time and at any time authorise any person to act on behalf of the Company for any specific purpose and in connection therewith to execute any agreement, document or instrument on behalf of the Company.</w:t>
      </w:r>
    </w:p>
    <w:p>
      <w:pPr>
        <w:spacing w:after="0" w:line="75" w:lineRule="exact"/>
        <w:rPr>
          <w:rFonts w:ascii="Arial" w:cs="Arial" w:eastAsia="Arial" w:hAnsi="Arial"/>
          <w:sz w:val="18"/>
          <w:szCs w:val="18"/>
          <w:color w:val="auto"/>
        </w:rPr>
      </w:pPr>
    </w:p>
    <w:p>
      <w:pPr>
        <w:ind w:left="1140" w:hanging="567"/>
        <w:spacing w:after="0" w:line="255" w:lineRule="auto"/>
        <w:rPr>
          <w:rFonts w:ascii="Arial" w:cs="Arial" w:eastAsia="Arial" w:hAnsi="Arial"/>
          <w:sz w:val="18"/>
          <w:szCs w:val="18"/>
          <w:color w:val="auto"/>
        </w:rPr>
      </w:pPr>
      <w:r>
        <w:rPr>
          <w:rFonts w:ascii="Arial" w:cs="Arial" w:eastAsia="Arial" w:hAnsi="Arial"/>
          <w:sz w:val="18"/>
          <w:szCs w:val="18"/>
          <w:color w:val="auto"/>
        </w:rPr>
        <w:t>49.2 The Board may from time to time and at any time by power of attorney appoint any company, firm or person or any fluctuating body of persons, whether nominated directly or indirectly by the Board, to be an attorney of the Company for such purposes and with such powers, authorities and discretions (not exceeding those vested in or exercisable by the Board under these Bye-laws) and for such period and subject to such conditions as it may think fit, and any such power of attorney may contain such provisions for the protection and convenience of persons dealing with any such attorney and of such attorney as the Board may think fit, and may also authorise any such attorney to sub-delegate all or any of the powers, authorities and discretions vested in him.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25" w:name="page26"/>
    <w:bookmarkEnd w:id="25"/>
    <w:p>
      <w:pPr>
        <w:ind w:left="572" w:hanging="572"/>
        <w:spacing w:after="0"/>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to delegate</w:t>
      </w:r>
    </w:p>
    <w:p>
      <w:pPr>
        <w:spacing w:after="0" w:line="134" w:lineRule="exact"/>
        <w:rPr>
          <w:rFonts w:ascii="Arial" w:cs="Arial" w:eastAsia="Arial" w:hAnsi="Arial"/>
          <w:sz w:val="18"/>
          <w:szCs w:val="18"/>
          <w:color w:val="auto"/>
        </w:rPr>
      </w:pPr>
    </w:p>
    <w:p>
      <w:pPr>
        <w:ind w:left="1132" w:right="100" w:hanging="567"/>
        <w:spacing w:after="0" w:line="312" w:lineRule="auto"/>
        <w:rPr>
          <w:rFonts w:ascii="Arial" w:cs="Arial" w:eastAsia="Arial" w:hAnsi="Arial"/>
          <w:sz w:val="18"/>
          <w:szCs w:val="18"/>
          <w:color w:val="auto"/>
        </w:rPr>
      </w:pPr>
      <w:r>
        <w:rPr>
          <w:rFonts w:ascii="Arial" w:cs="Arial" w:eastAsia="Arial" w:hAnsi="Arial"/>
          <w:sz w:val="16"/>
          <w:szCs w:val="16"/>
          <w:color w:val="auto"/>
        </w:rPr>
        <w:t>50.1 The Board may entrust and confer on any Director or officer any of the powers exercisable by it 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spacing w:after="0" w:line="52" w:lineRule="exact"/>
        <w:rPr>
          <w:rFonts w:ascii="Arial" w:cs="Arial" w:eastAsia="Arial" w:hAnsi="Arial"/>
          <w:sz w:val="18"/>
          <w:szCs w:val="18"/>
          <w:color w:val="auto"/>
        </w:rPr>
      </w:pPr>
    </w:p>
    <w:p>
      <w:pPr>
        <w:ind w:left="1132" w:right="200" w:hanging="567"/>
        <w:spacing w:after="0" w:line="277" w:lineRule="auto"/>
        <w:rPr>
          <w:rFonts w:ascii="Arial" w:cs="Arial" w:eastAsia="Arial" w:hAnsi="Arial"/>
          <w:sz w:val="18"/>
          <w:szCs w:val="18"/>
          <w:color w:val="auto"/>
        </w:rPr>
      </w:pPr>
      <w:r>
        <w:rPr>
          <w:rFonts w:ascii="Arial" w:cs="Arial" w:eastAsia="Arial" w:hAnsi="Arial"/>
          <w:sz w:val="18"/>
          <w:szCs w:val="18"/>
          <w:color w:val="auto"/>
        </w:rPr>
        <w:t>50.2 The Board may delegate any of its powers to a committee appointed by the Board which may consist partly or entirely of non-Directors and every such committee shall conform to such directions as the Board may impose on it.</w:t>
      </w:r>
    </w:p>
    <w:p>
      <w:pPr>
        <w:spacing w:after="0" w:line="315" w:lineRule="exact"/>
        <w:rPr>
          <w:rFonts w:ascii="Arial" w:cs="Arial" w:eastAsia="Arial" w:hAnsi="Arial"/>
          <w:sz w:val="18"/>
          <w:szCs w:val="18"/>
          <w:color w:val="auto"/>
        </w:rPr>
      </w:pPr>
    </w:p>
    <w:p>
      <w:pPr>
        <w:ind w:left="572" w:hanging="572"/>
        <w:spacing w:after="0"/>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Exercise of power to discontinue the Company</w:t>
      </w:r>
    </w:p>
    <w:p>
      <w:pPr>
        <w:spacing w:after="0" w:line="121" w:lineRule="exact"/>
        <w:rPr>
          <w:rFonts w:ascii="Arial" w:cs="Arial" w:eastAsia="Arial" w:hAnsi="Arial"/>
          <w:sz w:val="18"/>
          <w:szCs w:val="18"/>
          <w:color w:val="auto"/>
        </w:rPr>
      </w:pPr>
    </w:p>
    <w:p>
      <w:pPr>
        <w:ind w:left="572" w:right="820"/>
        <w:spacing w:after="0" w:line="277" w:lineRule="auto"/>
        <w:rPr>
          <w:rFonts w:ascii="Arial" w:cs="Arial" w:eastAsia="Arial" w:hAnsi="Arial"/>
          <w:sz w:val="18"/>
          <w:szCs w:val="18"/>
          <w:color w:val="auto"/>
        </w:rPr>
      </w:pPr>
      <w:r>
        <w:rPr>
          <w:rFonts w:ascii="Arial" w:cs="Arial" w:eastAsia="Arial" w:hAnsi="Arial"/>
          <w:sz w:val="18"/>
          <w:szCs w:val="18"/>
          <w:color w:val="auto"/>
        </w:rPr>
        <w:t>The Board may exercise all the powers of the Company to discontinue the Company in a named country or jurisdiction outside Bermuda in accordance with the Act.</w:t>
      </w:r>
    </w:p>
    <w:p>
      <w:pPr>
        <w:spacing w:after="0" w:line="315" w:lineRule="exact"/>
        <w:rPr>
          <w:rFonts w:ascii="Arial" w:cs="Arial" w:eastAsia="Arial" w:hAnsi="Arial"/>
          <w:sz w:val="18"/>
          <w:szCs w:val="18"/>
          <w:color w:val="auto"/>
        </w:rPr>
      </w:pPr>
    </w:p>
    <w:p>
      <w:pPr>
        <w:ind w:left="572" w:hanging="572"/>
        <w:spacing w:after="0"/>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Meetings of the Board</w:t>
      </w:r>
    </w:p>
    <w:p>
      <w:pPr>
        <w:spacing w:after="0" w:line="134"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52.1   The Board may meet for the despatch of business, adjourn and otherwise regulate its meetings as it thinks fit.</w:t>
      </w:r>
    </w:p>
    <w:p>
      <w:pPr>
        <w:spacing w:after="0" w:line="130"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52.2   A Director may, and the Secretary on the requisition of a Director shall, at any time summon a board meeting.</w:t>
      </w:r>
    </w:p>
    <w:p>
      <w:pPr>
        <w:spacing w:after="0" w:line="130" w:lineRule="exact"/>
        <w:rPr>
          <w:rFonts w:ascii="Arial" w:cs="Arial" w:eastAsia="Arial" w:hAnsi="Arial"/>
          <w:sz w:val="18"/>
          <w:szCs w:val="18"/>
          <w:color w:val="auto"/>
        </w:rPr>
      </w:pPr>
    </w:p>
    <w:p>
      <w:pPr>
        <w:ind w:left="1132" w:hanging="567"/>
        <w:spacing w:after="0" w:line="264" w:lineRule="auto"/>
        <w:rPr>
          <w:rFonts w:ascii="Arial" w:cs="Arial" w:eastAsia="Arial" w:hAnsi="Arial"/>
          <w:sz w:val="18"/>
          <w:szCs w:val="18"/>
          <w:color w:val="auto"/>
        </w:rPr>
      </w:pPr>
      <w:r>
        <w:rPr>
          <w:rFonts w:ascii="Arial" w:cs="Arial" w:eastAsia="Arial" w:hAnsi="Arial"/>
          <w:sz w:val="18"/>
          <w:szCs w:val="18"/>
          <w:color w:val="auto"/>
        </w:rPr>
        <w:t>52.3 Questions arising at any Board meeting shall be determined by a majority of votes and, in the event of an equality of votes, the resolution shall fail. For such time as the Company has only one Director, the Director may take decisions without regard to any of the provisions of these Bye-laws relating to Directors’ decision-making.</w:t>
      </w:r>
    </w:p>
    <w:p>
      <w:pPr>
        <w:spacing w:after="0" w:line="86" w:lineRule="exact"/>
        <w:rPr>
          <w:rFonts w:ascii="Arial" w:cs="Arial" w:eastAsia="Arial" w:hAnsi="Arial"/>
          <w:sz w:val="18"/>
          <w:szCs w:val="18"/>
          <w:color w:val="auto"/>
        </w:rPr>
      </w:pPr>
    </w:p>
    <w:p>
      <w:pPr>
        <w:ind w:left="1132" w:right="180" w:hanging="567"/>
        <w:spacing w:after="0" w:line="264" w:lineRule="auto"/>
        <w:rPr>
          <w:rFonts w:ascii="Arial" w:cs="Arial" w:eastAsia="Arial" w:hAnsi="Arial"/>
          <w:sz w:val="18"/>
          <w:szCs w:val="18"/>
          <w:color w:val="auto"/>
        </w:rPr>
      </w:pPr>
      <w:r>
        <w:rPr>
          <w:rFonts w:ascii="Arial" w:cs="Arial" w:eastAsia="Arial" w:hAnsi="Arial"/>
          <w:sz w:val="18"/>
          <w:szCs w:val="18"/>
          <w:color w:val="auto"/>
        </w:rPr>
        <w:t>52.4 A meeting of the Board or a committee appointed by the Board may be held by means of such telephone, electronic or other communication facilities as permit all persons participating in the meeting to communicate with each other simultaneously and instantaneously and participation in such a meeting shall constitute presence in person at such meeting.</w:t>
      </w:r>
    </w:p>
    <w:p>
      <w:pPr>
        <w:spacing w:after="0" w:line="325" w:lineRule="exact"/>
        <w:rPr>
          <w:rFonts w:ascii="Arial" w:cs="Arial" w:eastAsia="Arial" w:hAnsi="Arial"/>
          <w:sz w:val="18"/>
          <w:szCs w:val="18"/>
          <w:color w:val="auto"/>
        </w:rPr>
      </w:pPr>
    </w:p>
    <w:p>
      <w:pPr>
        <w:ind w:left="572" w:hanging="572"/>
        <w:spacing w:after="0"/>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Notice of meetings of the Board</w:t>
      </w:r>
    </w:p>
    <w:p>
      <w:pPr>
        <w:spacing w:after="0" w:line="134" w:lineRule="exact"/>
        <w:rPr>
          <w:rFonts w:ascii="Arial" w:cs="Arial" w:eastAsia="Arial" w:hAnsi="Arial"/>
          <w:sz w:val="18"/>
          <w:szCs w:val="18"/>
          <w:color w:val="auto"/>
        </w:rPr>
      </w:pPr>
    </w:p>
    <w:p>
      <w:pPr>
        <w:ind w:left="1132" w:right="40" w:hanging="567"/>
        <w:spacing w:after="0" w:line="264" w:lineRule="auto"/>
        <w:rPr>
          <w:rFonts w:ascii="Arial" w:cs="Arial" w:eastAsia="Arial" w:hAnsi="Arial"/>
          <w:sz w:val="18"/>
          <w:szCs w:val="18"/>
          <w:color w:val="auto"/>
        </w:rPr>
      </w:pPr>
      <w:r>
        <w:rPr>
          <w:rFonts w:ascii="Arial" w:cs="Arial" w:eastAsia="Arial" w:hAnsi="Arial"/>
          <w:sz w:val="18"/>
          <w:szCs w:val="18"/>
          <w:color w:val="auto"/>
        </w:rPr>
        <w:t>53.1 Subject to Bye-law 53.3, prior notice of meetings of the Board specifying the date, time and place of the meeting and a brief description of the business to be conducted at the meeting shall be given to each Director provided that failure to provide notice as aforesaid shall not invalidate a meeting or the business transacted at that meeting.</w:t>
      </w:r>
    </w:p>
    <w:p>
      <w:pPr>
        <w:spacing w:after="0" w:line="86" w:lineRule="exact"/>
        <w:rPr>
          <w:rFonts w:ascii="Arial" w:cs="Arial" w:eastAsia="Arial" w:hAnsi="Arial"/>
          <w:sz w:val="18"/>
          <w:szCs w:val="18"/>
          <w:color w:val="auto"/>
        </w:rPr>
      </w:pPr>
    </w:p>
    <w:p>
      <w:pPr>
        <w:ind w:left="1132" w:right="200" w:hanging="567"/>
        <w:spacing w:after="0" w:line="264" w:lineRule="auto"/>
        <w:rPr>
          <w:rFonts w:ascii="Arial" w:cs="Arial" w:eastAsia="Arial" w:hAnsi="Arial"/>
          <w:sz w:val="18"/>
          <w:szCs w:val="18"/>
          <w:color w:val="auto"/>
        </w:rPr>
      </w:pPr>
      <w:r>
        <w:rPr>
          <w:rFonts w:ascii="Arial" w:cs="Arial" w:eastAsia="Arial" w:hAnsi="Arial"/>
          <w:sz w:val="18"/>
          <w:szCs w:val="18"/>
          <w:color w:val="auto"/>
        </w:rPr>
        <w:t>53.2 Notice of a Board meeting shall be deemed to be duly given to a Director if it is given to him personally or by word of mouth or sent to him by post, facsimile, electronic mail or other mode of representing or reproducing words in a legible and non-transitory form at his last known address or any other address given by him to the Company for this purpose.</w:t>
      </w:r>
    </w:p>
    <w:p>
      <w:pPr>
        <w:spacing w:after="0" w:line="86"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53.3   A Director may waive notice of any meeting either prospectively or retrospectively.</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70" w:right="239" w:bottom="1440" w:gutter="0" w:footer="0" w:header="0"/>
        </w:sectPr>
      </w:pPr>
    </w:p>
    <w:bookmarkStart w:id="26" w:name="page27"/>
    <w:bookmarkEnd w:id="26"/>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Quorum for Board meetings</w:t>
      </w:r>
    </w:p>
    <w:p>
      <w:pPr>
        <w:spacing w:after="0" w:line="121" w:lineRule="exact"/>
        <w:rPr>
          <w:rFonts w:ascii="Arial" w:cs="Arial" w:eastAsia="Arial" w:hAnsi="Arial"/>
          <w:sz w:val="18"/>
          <w:szCs w:val="18"/>
          <w:color w:val="auto"/>
        </w:rPr>
      </w:pPr>
    </w:p>
    <w:p>
      <w:pPr>
        <w:ind w:left="580"/>
        <w:spacing w:after="0" w:line="255" w:lineRule="auto"/>
        <w:rPr>
          <w:rFonts w:ascii="Arial" w:cs="Arial" w:eastAsia="Arial" w:hAnsi="Arial"/>
          <w:sz w:val="18"/>
          <w:szCs w:val="18"/>
          <w:color w:val="auto"/>
        </w:rPr>
      </w:pPr>
      <w:r>
        <w:rPr>
          <w:rFonts w:ascii="Arial" w:cs="Arial" w:eastAsia="Arial" w:hAnsi="Arial"/>
          <w:sz w:val="18"/>
          <w:szCs w:val="18"/>
          <w:color w:val="auto"/>
        </w:rPr>
        <w:t>For such time as the Board shall consist of two or more Directors, the quorum necessary for the transaction of the business of the Board may be fixed by the Board and, unless so fixed at any other number, shall be two Directors. For such time as the Company has only one Director, such Director acting alone may take decisions to transact the business of the Company in lieu of a Board. A Director who to his knowledge is in any way, whether directly or indirectly, interested in a contract or proposed contract, transaction or arrangement with the Company and has complied with the provisions of the Act and these Bye-laws with regard to disclosure of his interest shall be entitled to vote in respect of any contract, transaction or arrangement in which he is so interested and if he shall do so his vote shall be counted, and he shall be taken into account in ascertaining whether a quorum is present.</w:t>
      </w:r>
    </w:p>
    <w:p>
      <w:pPr>
        <w:spacing w:after="0" w:line="333"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Chairman of meetings</w:t>
      </w:r>
    </w:p>
    <w:p>
      <w:pPr>
        <w:spacing w:after="0" w:line="121" w:lineRule="exact"/>
        <w:rPr>
          <w:rFonts w:ascii="Arial" w:cs="Arial" w:eastAsia="Arial" w:hAnsi="Arial"/>
          <w:sz w:val="18"/>
          <w:szCs w:val="18"/>
          <w:color w:val="auto"/>
        </w:rPr>
      </w:pPr>
    </w:p>
    <w:p>
      <w:pPr>
        <w:ind w:left="580" w:right="120"/>
        <w:spacing w:after="0" w:line="312" w:lineRule="auto"/>
        <w:rPr>
          <w:rFonts w:ascii="Arial" w:cs="Arial" w:eastAsia="Arial" w:hAnsi="Arial"/>
          <w:sz w:val="18"/>
          <w:szCs w:val="18"/>
          <w:color w:val="auto"/>
        </w:rPr>
      </w:pPr>
      <w:r>
        <w:rPr>
          <w:rFonts w:ascii="Arial" w:cs="Arial" w:eastAsia="Arial" w:hAnsi="Arial"/>
          <w:sz w:val="16"/>
          <w:szCs w:val="16"/>
          <w:color w:val="auto"/>
        </w:rPr>
        <w:t>The Chairman (if any) of the Board or, in his absence, the Vice-Chairman shall preside as chairman at every meeting of the Board. If there is no such Chairman or Vice-Chairman, or if at any meeting the Chairman or the Vice-Chairman is not present within five minutes after the time appointed for holding the meeting, or is not willing to act as chairman, the Directors present may chose one of their number to be chairman of the meeting.</w:t>
      </w:r>
    </w:p>
    <w:p>
      <w:pPr>
        <w:spacing w:after="0" w:line="291"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Meetings of committees appointed by the Board</w:t>
      </w:r>
    </w:p>
    <w:p>
      <w:pPr>
        <w:spacing w:after="0" w:line="121" w:lineRule="exact"/>
        <w:rPr>
          <w:rFonts w:ascii="Arial" w:cs="Arial" w:eastAsia="Arial" w:hAnsi="Arial"/>
          <w:sz w:val="18"/>
          <w:szCs w:val="18"/>
          <w:color w:val="auto"/>
        </w:rPr>
      </w:pPr>
    </w:p>
    <w:p>
      <w:pPr>
        <w:ind w:left="580" w:right="160"/>
        <w:spacing w:after="0" w:line="264" w:lineRule="auto"/>
        <w:rPr>
          <w:rFonts w:ascii="Arial" w:cs="Arial" w:eastAsia="Arial" w:hAnsi="Arial"/>
          <w:sz w:val="18"/>
          <w:szCs w:val="18"/>
          <w:color w:val="auto"/>
        </w:rPr>
      </w:pPr>
      <w:r>
        <w:rPr>
          <w:rFonts w:ascii="Arial" w:cs="Arial" w:eastAsia="Arial" w:hAnsi="Arial"/>
          <w:sz w:val="18"/>
          <w:szCs w:val="18"/>
          <w:color w:val="auto"/>
        </w:rPr>
        <w:t>The meetings and proceedings of any committee appointed by the Board consisting of two or more persons shall be governed by the provisions in these Bye-laws for regulating the meetings and proceedings of the Board so far as the same are applicable and are not superseded by any regulations imposed by the Board.</w:t>
      </w:r>
    </w:p>
    <w:p>
      <w:pPr>
        <w:spacing w:after="0" w:line="325"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Written resolutions</w:t>
      </w:r>
    </w:p>
    <w:p>
      <w:pPr>
        <w:spacing w:after="0" w:line="121" w:lineRule="exact"/>
        <w:rPr>
          <w:rFonts w:ascii="Arial" w:cs="Arial" w:eastAsia="Arial" w:hAnsi="Arial"/>
          <w:sz w:val="18"/>
          <w:szCs w:val="18"/>
          <w:color w:val="auto"/>
        </w:rPr>
      </w:pPr>
    </w:p>
    <w:p>
      <w:pPr>
        <w:jc w:val="both"/>
        <w:ind w:left="580" w:right="340"/>
        <w:spacing w:after="0" w:line="264" w:lineRule="auto"/>
        <w:rPr>
          <w:rFonts w:ascii="Arial" w:cs="Arial" w:eastAsia="Arial" w:hAnsi="Arial"/>
          <w:sz w:val="18"/>
          <w:szCs w:val="18"/>
          <w:color w:val="auto"/>
        </w:rPr>
      </w:pPr>
      <w:r>
        <w:rPr>
          <w:rFonts w:ascii="Arial" w:cs="Arial" w:eastAsia="Arial" w:hAnsi="Arial"/>
          <w:sz w:val="18"/>
          <w:szCs w:val="18"/>
          <w:color w:val="auto"/>
        </w:rPr>
        <w:t>A resolution in writing signed by all the Directors or by all the members of a committee which may be in counterparts shall be as valid as if it had been passed at a duly called and constituted meeting of the Board or committee, as the case may be, such resolution to be effective on the date on which the last Director signs the resolution.</w:t>
      </w:r>
    </w:p>
    <w:p>
      <w:pPr>
        <w:spacing w:after="0" w:line="325"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Acts valid notwithstanding defect in appointment</w:t>
      </w:r>
    </w:p>
    <w:p>
      <w:pPr>
        <w:spacing w:after="0" w:line="121" w:lineRule="exact"/>
        <w:rPr>
          <w:rFonts w:ascii="Arial" w:cs="Arial" w:eastAsia="Arial" w:hAnsi="Arial"/>
          <w:sz w:val="18"/>
          <w:szCs w:val="18"/>
          <w:color w:val="auto"/>
        </w:rPr>
      </w:pPr>
    </w:p>
    <w:p>
      <w:pPr>
        <w:ind w:left="580" w:right="120"/>
        <w:spacing w:after="0" w:line="302" w:lineRule="auto"/>
        <w:rPr>
          <w:rFonts w:ascii="Arial" w:cs="Arial" w:eastAsia="Arial" w:hAnsi="Arial"/>
          <w:sz w:val="18"/>
          <w:szCs w:val="18"/>
          <w:color w:val="auto"/>
        </w:rPr>
      </w:pPr>
      <w:r>
        <w:rPr>
          <w:rFonts w:ascii="Arial" w:cs="Arial" w:eastAsia="Arial" w:hAnsi="Arial"/>
          <w:sz w:val="16"/>
          <w:szCs w:val="16"/>
          <w:color w:val="auto"/>
        </w:rPr>
        <w:t>All acts done by the Board, any committee, any person acting as a Director or member of a committee or any person duly authorised by the Board or any committee, shall, notwithstanding that it is afterwards discovered that there was some defect in the appointment of any member of the Board or such committee or person acting as aforesaid or that they or any of them were disqualified or had vacated their office, be as valid as if every such person had been duly appointed and was qualified and had continued to be a Director, member of such committee or person so authorised.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OF THE COMPANY</w:t>
      </w:r>
    </w:p>
    <w:p>
      <w:pPr>
        <w:spacing w:after="0" w:line="252"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Appointment of Officers of the Company</w:t>
      </w:r>
    </w:p>
    <w:p>
      <w:pPr>
        <w:spacing w:after="0" w:line="121" w:lineRule="exact"/>
        <w:rPr>
          <w:rFonts w:ascii="Arial" w:cs="Arial" w:eastAsia="Arial" w:hAnsi="Arial"/>
          <w:sz w:val="18"/>
          <w:szCs w:val="18"/>
          <w:color w:val="auto"/>
        </w:rPr>
      </w:pPr>
    </w:p>
    <w:p>
      <w:pPr>
        <w:jc w:val="both"/>
        <w:ind w:left="580" w:right="60"/>
        <w:spacing w:after="0" w:line="264" w:lineRule="auto"/>
        <w:rPr>
          <w:rFonts w:ascii="Arial" w:cs="Arial" w:eastAsia="Arial" w:hAnsi="Arial"/>
          <w:sz w:val="18"/>
          <w:szCs w:val="18"/>
          <w:color w:val="auto"/>
        </w:rPr>
      </w:pPr>
      <w:r>
        <w:rPr>
          <w:rFonts w:ascii="Arial" w:cs="Arial" w:eastAsia="Arial" w:hAnsi="Arial"/>
          <w:sz w:val="18"/>
          <w:szCs w:val="18"/>
          <w:color w:val="auto"/>
        </w:rPr>
        <w:t>The Board may appoint such officers who may or may not be Directors as the Board may determine. Any person elected or appointed pursuant to this Bye-law shall hold office until the close of the next annual general meeting or for such other period and upon such terms as the Board may determine and the Board may revoke or terminate any such election or appointment at any time.</w:t>
      </w:r>
    </w:p>
    <w:p>
      <w:pPr>
        <w:spacing w:after="0" w:line="325"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Appointment of Secretary</w:t>
      </w:r>
    </w:p>
    <w:p>
      <w:pPr>
        <w:spacing w:after="0" w:line="121" w:lineRule="exact"/>
        <w:rPr>
          <w:rFonts w:ascii="Arial" w:cs="Arial" w:eastAsia="Arial" w:hAnsi="Arial"/>
          <w:sz w:val="18"/>
          <w:szCs w:val="18"/>
          <w:color w:val="auto"/>
        </w:rPr>
      </w:pPr>
    </w:p>
    <w:p>
      <w:pPr>
        <w:ind w:left="580" w:right="100"/>
        <w:spacing w:after="0" w:line="264" w:lineRule="auto"/>
        <w:rPr>
          <w:rFonts w:ascii="Arial" w:cs="Arial" w:eastAsia="Arial" w:hAnsi="Arial"/>
          <w:sz w:val="18"/>
          <w:szCs w:val="18"/>
          <w:color w:val="auto"/>
        </w:rPr>
      </w:pPr>
      <w:r>
        <w:rPr>
          <w:rFonts w:ascii="Arial" w:cs="Arial" w:eastAsia="Arial" w:hAnsi="Arial"/>
          <w:sz w:val="18"/>
          <w:szCs w:val="18"/>
          <w:color w:val="auto"/>
        </w:rPr>
        <w:t>The Secretary shall be appointed by the Board from time to time. Any person elected or appointed pursuant to this Bye-law shall hold office until the close of the next annual general meeting or for such other period and upon such terms as the Board may determine and the Board may revoke or terminate any such election or appointment at any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7" w:name="page28"/>
    <w:bookmarkEnd w:id="27"/>
    <w:p>
      <w:pPr>
        <w:ind w:left="572" w:hanging="572"/>
        <w:spacing w:after="0"/>
        <w:tabs>
          <w:tab w:leader="none" w:pos="57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Remuneration and duties of Officers</w:t>
      </w:r>
    </w:p>
    <w:p>
      <w:pPr>
        <w:spacing w:after="0" w:line="121" w:lineRule="exact"/>
        <w:rPr>
          <w:rFonts w:ascii="Arial" w:cs="Arial" w:eastAsia="Arial" w:hAnsi="Arial"/>
          <w:sz w:val="18"/>
          <w:szCs w:val="18"/>
          <w:color w:val="auto"/>
        </w:rPr>
      </w:pPr>
    </w:p>
    <w:p>
      <w:pPr>
        <w:ind w:left="572" w:right="180"/>
        <w:spacing w:after="0" w:line="312" w:lineRule="auto"/>
        <w:rPr>
          <w:rFonts w:ascii="Arial" w:cs="Arial" w:eastAsia="Arial" w:hAnsi="Arial"/>
          <w:sz w:val="18"/>
          <w:szCs w:val="18"/>
          <w:color w:val="auto"/>
        </w:rPr>
      </w:pPr>
      <w:r>
        <w:rPr>
          <w:rFonts w:ascii="Arial" w:cs="Arial" w:eastAsia="Arial" w:hAnsi="Arial"/>
          <w:sz w:val="16"/>
          <w:szCs w:val="16"/>
          <w:color w:val="auto"/>
        </w:rPr>
        <w:t>Save as provided in the Act or these Bye-laws, the powers, duties and remuneration of the Officers of the Company shall be such (if any) as are determined from time to time by the Board. A provision of the Act or these Bye-laws requiring or authorising a thing to be done by or to a Director and the Secretary shall not be satisfied by its being done by or to the same person acting both as Director and as, or in the place of, the Secretary.</w:t>
      </w:r>
    </w:p>
    <w:p>
      <w:pPr>
        <w:spacing w:after="0" w:line="291" w:lineRule="exact"/>
        <w:rPr>
          <w:rFonts w:ascii="Arial" w:cs="Arial" w:eastAsia="Arial" w:hAnsi="Arial"/>
          <w:sz w:val="18"/>
          <w:szCs w:val="18"/>
          <w:color w:val="auto"/>
        </w:rPr>
      </w:pPr>
    </w:p>
    <w:p>
      <w:pPr>
        <w:ind w:left="572" w:hanging="572"/>
        <w:spacing w:after="0"/>
        <w:tabs>
          <w:tab w:leader="none" w:pos="57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Minutes</w:t>
      </w:r>
    </w:p>
    <w:p>
      <w:pPr>
        <w:spacing w:after="0" w:line="121"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Directors shall cause minutes to be made and books kept for the purpose of recording:</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appointments of Officers made by the Directors;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names of the Directors and other persons (if any) present at each meeting of Directors and of any committee;</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31"/>
        </w:numPr>
        <w:rPr>
          <w:rFonts w:ascii="Arial" w:cs="Arial" w:eastAsia="Arial" w:hAnsi="Arial"/>
          <w:sz w:val="18"/>
          <w:szCs w:val="18"/>
          <w:color w:val="auto"/>
        </w:rPr>
      </w:pPr>
      <w:r>
        <w:rPr>
          <w:rFonts w:ascii="Arial" w:cs="Arial" w:eastAsia="Arial" w:hAnsi="Arial"/>
          <w:sz w:val="18"/>
          <w:szCs w:val="18"/>
          <w:color w:val="auto"/>
        </w:rPr>
        <w:t>of all proceedings at meetings of the Company, of the holders of any class of shares in the Company, and of committees;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31"/>
        </w:numPr>
        <w:rPr>
          <w:rFonts w:ascii="Arial" w:cs="Arial" w:eastAsia="Arial" w:hAnsi="Arial"/>
          <w:sz w:val="18"/>
          <w:szCs w:val="18"/>
          <w:color w:val="auto"/>
        </w:rPr>
      </w:pPr>
      <w:r>
        <w:rPr>
          <w:rFonts w:ascii="Arial" w:cs="Arial" w:eastAsia="Arial" w:hAnsi="Arial"/>
          <w:sz w:val="18"/>
          <w:szCs w:val="18"/>
          <w:color w:val="auto"/>
        </w:rPr>
        <w:t>of all proceedings of managers (if any).</w:t>
      </w:r>
    </w:p>
    <w:p>
      <w:pPr>
        <w:spacing w:after="0" w:line="200" w:lineRule="exact"/>
        <w:rPr>
          <w:sz w:val="20"/>
          <w:szCs w:val="20"/>
          <w:color w:val="auto"/>
        </w:rPr>
      </w:pPr>
    </w:p>
    <w:p>
      <w:pPr>
        <w:spacing w:after="0" w:line="23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THE SEAL</w:t>
      </w:r>
    </w:p>
    <w:p>
      <w:pPr>
        <w:spacing w:after="0" w:line="252" w:lineRule="exact"/>
        <w:rPr>
          <w:sz w:val="20"/>
          <w:szCs w:val="20"/>
          <w:color w:val="auto"/>
        </w:rPr>
      </w:pPr>
    </w:p>
    <w:p>
      <w:pPr>
        <w:ind w:left="572" w:hanging="572"/>
        <w:spacing w:after="0"/>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The Seal</w:t>
      </w:r>
    </w:p>
    <w:p>
      <w:pPr>
        <w:spacing w:after="0" w:line="121" w:lineRule="exact"/>
        <w:rPr>
          <w:rFonts w:ascii="Arial" w:cs="Arial" w:eastAsia="Arial" w:hAnsi="Arial"/>
          <w:sz w:val="18"/>
          <w:szCs w:val="18"/>
          <w:color w:val="auto"/>
        </w:rPr>
      </w:pPr>
    </w:p>
    <w:p>
      <w:pPr>
        <w:ind w:left="572" w:right="440"/>
        <w:spacing w:after="0" w:line="277" w:lineRule="auto"/>
        <w:rPr>
          <w:rFonts w:ascii="Arial" w:cs="Arial" w:eastAsia="Arial" w:hAnsi="Arial"/>
          <w:sz w:val="18"/>
          <w:szCs w:val="18"/>
          <w:color w:val="auto"/>
        </w:rPr>
      </w:pPr>
      <w:r>
        <w:rPr>
          <w:rFonts w:ascii="Arial" w:cs="Arial" w:eastAsia="Arial" w:hAnsi="Arial"/>
          <w:sz w:val="18"/>
          <w:szCs w:val="18"/>
          <w:color w:val="auto"/>
        </w:rPr>
        <w:t>The Seal shall be in such form as the Board may from time to time determine. The Board may adopt one or more duplicate seals for use outside Bermuda.</w:t>
      </w:r>
    </w:p>
    <w:p>
      <w:pPr>
        <w:spacing w:after="0" w:line="315" w:lineRule="exact"/>
        <w:rPr>
          <w:rFonts w:ascii="Arial" w:cs="Arial" w:eastAsia="Arial" w:hAnsi="Arial"/>
          <w:sz w:val="18"/>
          <w:szCs w:val="18"/>
          <w:color w:val="auto"/>
        </w:rPr>
      </w:pPr>
    </w:p>
    <w:p>
      <w:pPr>
        <w:ind w:left="572" w:hanging="572"/>
        <w:spacing w:after="0"/>
        <w:tabs>
          <w:tab w:leader="none" w:pos="57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Manner in which seal is to be affixed</w:t>
      </w:r>
    </w:p>
    <w:p>
      <w:pPr>
        <w:spacing w:after="0" w:line="121" w:lineRule="exact"/>
        <w:rPr>
          <w:rFonts w:ascii="Arial" w:cs="Arial" w:eastAsia="Arial" w:hAnsi="Arial"/>
          <w:sz w:val="18"/>
          <w:szCs w:val="18"/>
          <w:color w:val="auto"/>
        </w:rPr>
      </w:pPr>
    </w:p>
    <w:p>
      <w:pPr>
        <w:jc w:val="both"/>
        <w:ind w:left="572" w:right="140"/>
        <w:spacing w:after="0" w:line="286" w:lineRule="auto"/>
        <w:rPr>
          <w:rFonts w:ascii="Arial" w:cs="Arial" w:eastAsia="Arial" w:hAnsi="Arial"/>
          <w:sz w:val="18"/>
          <w:szCs w:val="18"/>
          <w:color w:val="auto"/>
        </w:rPr>
      </w:pPr>
      <w:r>
        <w:rPr>
          <w:rFonts w:ascii="Arial" w:cs="Arial" w:eastAsia="Arial" w:hAnsi="Arial"/>
          <w:sz w:val="17"/>
          <w:szCs w:val="17"/>
          <w:color w:val="auto"/>
        </w:rPr>
        <w:t>A seal may, but need not, be affixed to any deed, instrument, share certificate or document, and if the seal is to be affixed thereto, it shall be attested by the signature of (i) any Director, or (ii) any Officer, or (iii) the Secretary, or (iv) any person authorised by the Board for that purpose. A Resident Representative may, but need not, affix the seal of the Company to certify the authenticity of any copies of documents.</w:t>
      </w:r>
    </w:p>
    <w:p>
      <w:pPr>
        <w:spacing w:after="0" w:line="378"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DIVIDENDS AND OTHER DISTRIBUTIONS</w:t>
      </w:r>
    </w:p>
    <w:p>
      <w:pPr>
        <w:spacing w:after="0" w:line="252" w:lineRule="exact"/>
        <w:rPr>
          <w:sz w:val="20"/>
          <w:szCs w:val="20"/>
          <w:color w:val="auto"/>
        </w:rPr>
      </w:pPr>
    </w:p>
    <w:p>
      <w:pPr>
        <w:ind w:left="572" w:hanging="572"/>
        <w:spacing w:after="0"/>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Declaration of dividends by the Board</w:t>
      </w:r>
    </w:p>
    <w:p>
      <w:pPr>
        <w:spacing w:after="0" w:line="121" w:lineRule="exact"/>
        <w:rPr>
          <w:rFonts w:ascii="Arial" w:cs="Arial" w:eastAsia="Arial" w:hAnsi="Arial"/>
          <w:sz w:val="18"/>
          <w:szCs w:val="18"/>
          <w:color w:val="auto"/>
        </w:rPr>
      </w:pPr>
    </w:p>
    <w:p>
      <w:pPr>
        <w:ind w:left="572"/>
        <w:spacing w:after="0" w:line="264" w:lineRule="auto"/>
        <w:rPr>
          <w:rFonts w:ascii="Arial" w:cs="Arial" w:eastAsia="Arial" w:hAnsi="Arial"/>
          <w:sz w:val="18"/>
          <w:szCs w:val="18"/>
          <w:color w:val="auto"/>
        </w:rPr>
      </w:pPr>
      <w:r>
        <w:rPr>
          <w:rFonts w:ascii="Arial" w:cs="Arial" w:eastAsia="Arial" w:hAnsi="Arial"/>
          <w:sz w:val="18"/>
          <w:szCs w:val="18"/>
          <w:color w:val="auto"/>
        </w:rPr>
        <w:t>The Board may, subject to these Bye-laws and in accordance with Section 54 of the Act, declare a dividend to be paid to Members, in proportion to the number of shares held by them, and such dividend may be paid in cash or wholly or partly in specie in which case the Board may fix the value for distribution in specie of any assets.</w:t>
      </w:r>
    </w:p>
    <w:p>
      <w:pPr>
        <w:spacing w:after="0" w:line="325" w:lineRule="exact"/>
        <w:rPr>
          <w:rFonts w:ascii="Arial" w:cs="Arial" w:eastAsia="Arial" w:hAnsi="Arial"/>
          <w:sz w:val="18"/>
          <w:szCs w:val="18"/>
          <w:color w:val="auto"/>
        </w:rPr>
      </w:pPr>
    </w:p>
    <w:p>
      <w:pPr>
        <w:ind w:left="572" w:hanging="572"/>
        <w:spacing w:after="0"/>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Other distributions</w:t>
      </w:r>
    </w:p>
    <w:p>
      <w:pPr>
        <w:spacing w:after="0" w:line="121" w:lineRule="exact"/>
        <w:rPr>
          <w:rFonts w:ascii="Arial" w:cs="Arial" w:eastAsia="Arial" w:hAnsi="Arial"/>
          <w:sz w:val="18"/>
          <w:szCs w:val="18"/>
          <w:color w:val="auto"/>
        </w:rPr>
      </w:pPr>
    </w:p>
    <w:p>
      <w:pPr>
        <w:ind w:left="572" w:right="400"/>
        <w:spacing w:after="0" w:line="277" w:lineRule="auto"/>
        <w:rPr>
          <w:rFonts w:ascii="Arial" w:cs="Arial" w:eastAsia="Arial" w:hAnsi="Arial"/>
          <w:sz w:val="18"/>
          <w:szCs w:val="18"/>
          <w:color w:val="auto"/>
        </w:rPr>
      </w:pPr>
      <w:r>
        <w:rPr>
          <w:rFonts w:ascii="Arial" w:cs="Arial" w:eastAsia="Arial" w:hAnsi="Arial"/>
          <w:sz w:val="18"/>
          <w:szCs w:val="18"/>
          <w:color w:val="auto"/>
        </w:rPr>
        <w:t>The Board may declare and make such other distributions (in cash or in specie) to the Members as may be lawfully made out of the assets of the Company.</w:t>
      </w:r>
    </w:p>
    <w:p>
      <w:pPr>
        <w:spacing w:after="0" w:line="315" w:lineRule="exact"/>
        <w:rPr>
          <w:rFonts w:ascii="Arial" w:cs="Arial" w:eastAsia="Arial" w:hAnsi="Arial"/>
          <w:sz w:val="18"/>
          <w:szCs w:val="18"/>
          <w:color w:val="auto"/>
        </w:rPr>
      </w:pPr>
    </w:p>
    <w:p>
      <w:pPr>
        <w:ind w:left="572" w:hanging="572"/>
        <w:spacing w:after="0"/>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Reserve fund</w:t>
      </w:r>
    </w:p>
    <w:p>
      <w:pPr>
        <w:spacing w:after="0" w:line="121" w:lineRule="exact"/>
        <w:rPr>
          <w:rFonts w:ascii="Arial" w:cs="Arial" w:eastAsia="Arial" w:hAnsi="Arial"/>
          <w:sz w:val="18"/>
          <w:szCs w:val="18"/>
          <w:color w:val="auto"/>
        </w:rPr>
      </w:pPr>
    </w:p>
    <w:p>
      <w:pPr>
        <w:ind w:left="572"/>
        <w:spacing w:after="0" w:line="277" w:lineRule="auto"/>
        <w:rPr>
          <w:rFonts w:ascii="Arial" w:cs="Arial" w:eastAsia="Arial" w:hAnsi="Arial"/>
          <w:sz w:val="18"/>
          <w:szCs w:val="18"/>
          <w:color w:val="auto"/>
        </w:rPr>
      </w:pPr>
      <w:r>
        <w:rPr>
          <w:rFonts w:ascii="Arial" w:cs="Arial" w:eastAsia="Arial" w:hAnsi="Arial"/>
          <w:sz w:val="18"/>
          <w:szCs w:val="18"/>
          <w:color w:val="auto"/>
        </w:rPr>
        <w:t>The Board may from time to time before declaring a dividend set aside, out of the surplus or profits of the Company, such sum as it thinks proper as a reserve fund to be used to meet contingencies or for equalising dividends or for any other special purpose.</w:t>
      </w:r>
    </w:p>
    <w:p>
      <w:pPr>
        <w:spacing w:after="0" w:line="315" w:lineRule="exact"/>
        <w:rPr>
          <w:rFonts w:ascii="Arial" w:cs="Arial" w:eastAsia="Arial" w:hAnsi="Arial"/>
          <w:sz w:val="18"/>
          <w:szCs w:val="18"/>
          <w:color w:val="auto"/>
        </w:rPr>
      </w:pPr>
    </w:p>
    <w:p>
      <w:pPr>
        <w:ind w:left="572" w:hanging="572"/>
        <w:spacing w:after="0"/>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Deduction of amounts due to the Company</w:t>
      </w:r>
    </w:p>
    <w:p>
      <w:pPr>
        <w:spacing w:after="0" w:line="121" w:lineRule="exact"/>
        <w:rPr>
          <w:rFonts w:ascii="Arial" w:cs="Arial" w:eastAsia="Arial" w:hAnsi="Arial"/>
          <w:sz w:val="18"/>
          <w:szCs w:val="18"/>
          <w:color w:val="auto"/>
        </w:rPr>
      </w:pPr>
    </w:p>
    <w:p>
      <w:pPr>
        <w:ind w:left="572" w:right="20"/>
        <w:spacing w:after="0" w:line="264" w:lineRule="auto"/>
        <w:rPr>
          <w:rFonts w:ascii="Arial" w:cs="Arial" w:eastAsia="Arial" w:hAnsi="Arial"/>
          <w:sz w:val="18"/>
          <w:szCs w:val="18"/>
          <w:color w:val="auto"/>
        </w:rPr>
      </w:pPr>
      <w:r>
        <w:rPr>
          <w:rFonts w:ascii="Arial" w:cs="Arial" w:eastAsia="Arial" w:hAnsi="Arial"/>
          <w:sz w:val="18"/>
          <w:szCs w:val="18"/>
          <w:color w:val="auto"/>
        </w:rPr>
        <w:t>The Board may deduct from any dividend, distribution or other moneys payable to a Member by the Company on or in respect of any shares all sums of money (if any) presently payable by him to the Company on account of calls on or in respect of shares of the Company or otherwise in respect of monies owed by him to the Company.</w:t>
      </w:r>
    </w:p>
    <w:p>
      <w:pPr>
        <w:sectPr>
          <w:pgSz w:w="11900" w:h="16838" w:orient="portrait"/>
          <w:cols w:equalWidth="0" w:num="1">
            <w:col w:w="11352"/>
          </w:cols>
          <w:pgMar w:left="248" w:top="270" w:right="299" w:bottom="1440" w:gutter="0" w:footer="0" w:header="0"/>
        </w:sectPr>
      </w:pPr>
    </w:p>
    <w:bookmarkStart w:id="28" w:name="page29"/>
    <w:bookmarkEnd w:id="28"/>
    <w:p>
      <w:pPr>
        <w:ind w:left="572" w:hanging="572"/>
        <w:spacing w:after="0"/>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Record dates</w:t>
      </w:r>
    </w:p>
    <w:p>
      <w:pPr>
        <w:spacing w:after="0" w:line="121" w:lineRule="exact"/>
        <w:rPr>
          <w:rFonts w:ascii="Arial" w:cs="Arial" w:eastAsia="Arial" w:hAnsi="Arial"/>
          <w:sz w:val="18"/>
          <w:szCs w:val="18"/>
          <w:color w:val="auto"/>
        </w:rPr>
      </w:pPr>
    </w:p>
    <w:p>
      <w:pPr>
        <w:ind w:left="572"/>
        <w:spacing w:after="0" w:line="259" w:lineRule="auto"/>
        <w:rPr>
          <w:rFonts w:ascii="Arial" w:cs="Arial" w:eastAsia="Arial" w:hAnsi="Arial"/>
          <w:sz w:val="18"/>
          <w:szCs w:val="18"/>
          <w:color w:val="auto"/>
        </w:rPr>
      </w:pPr>
      <w:r>
        <w:rPr>
          <w:rFonts w:ascii="Arial" w:cs="Arial" w:eastAsia="Arial" w:hAnsi="Arial"/>
          <w:sz w:val="18"/>
          <w:szCs w:val="18"/>
          <w:color w:val="auto"/>
        </w:rPr>
        <w:t>Notwithstanding any other provisions of these Bye-laws, the Company may by Resolution or the Board may fix any date as the record date for the payment of any dividend or distribution or the making of any allotment or issue of shares and for the purpose of identifying the persons entitled to receive notices of general meetings. Any such record date may be on or at any time before or after any date on which such dividend, distribution, allotment or issue is declared, paid or made or such notice is despatched.</w:t>
      </w:r>
    </w:p>
    <w:p>
      <w:pPr>
        <w:spacing w:after="0" w:line="119"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12"/>
          </w:cols>
          <w:pgMar w:left="248" w:top="486" w:right="539" w:bottom="1440" w:gutter="0" w:footer="0" w:header="0"/>
        </w:sectPr>
      </w:pPr>
    </w:p>
    <w:bookmarkStart w:id="29" w:name="page30"/>
    <w:bookmarkEnd w:id="2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CAPITALISATION OF PROFITS</w:t>
      </w:r>
    </w:p>
    <w:p>
      <w:pPr>
        <w:spacing w:after="0" w:line="252" w:lineRule="exact"/>
        <w:rPr>
          <w:sz w:val="20"/>
          <w:szCs w:val="20"/>
          <w:color w:val="auto"/>
        </w:rPr>
      </w:pPr>
    </w:p>
    <w:p>
      <w:pPr>
        <w:ind w:left="572" w:hanging="572"/>
        <w:spacing w:after="0"/>
        <w:tabs>
          <w:tab w:leader="none" w:pos="572"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Issue of bonus shares</w:t>
      </w:r>
    </w:p>
    <w:p>
      <w:pPr>
        <w:spacing w:after="0" w:line="134" w:lineRule="exact"/>
        <w:rPr>
          <w:rFonts w:ascii="Arial" w:cs="Arial" w:eastAsia="Arial" w:hAnsi="Arial"/>
          <w:sz w:val="18"/>
          <w:szCs w:val="18"/>
          <w:color w:val="auto"/>
        </w:rPr>
      </w:pPr>
    </w:p>
    <w:p>
      <w:pPr>
        <w:ind w:left="1132" w:right="140" w:hanging="567"/>
        <w:spacing w:after="0" w:line="286" w:lineRule="auto"/>
        <w:rPr>
          <w:rFonts w:ascii="Arial" w:cs="Arial" w:eastAsia="Arial" w:hAnsi="Arial"/>
          <w:sz w:val="18"/>
          <w:szCs w:val="18"/>
          <w:color w:val="auto"/>
        </w:rPr>
      </w:pPr>
      <w:r>
        <w:rPr>
          <w:rFonts w:ascii="Arial" w:cs="Arial" w:eastAsia="Arial" w:hAnsi="Arial"/>
          <w:sz w:val="17"/>
          <w:szCs w:val="17"/>
          <w:color w:val="auto"/>
        </w:rPr>
        <w:t>70.1 The Board may resolve to capitalise all or any part of any amount for the time being standing to the credit of any of the Company’s share premium or other reserve accounts or to the credit of the profit and loss account or otherwise available for distribution by applying such sum in paying up unissued shares to be allotted as fully paid bonus shares pro rata to the Members.</w:t>
      </w:r>
    </w:p>
    <w:p>
      <w:pPr>
        <w:spacing w:after="0" w:line="70"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70.2   The Company may capitalise any sum standing to the credit of a reserve accounts or otherwise available for distribution by applying such sum</w:t>
      </w:r>
    </w:p>
    <w:p>
      <w:pPr>
        <w:spacing w:after="0" w:line="46" w:lineRule="exact"/>
        <w:rPr>
          <w:rFonts w:ascii="Arial" w:cs="Arial" w:eastAsia="Arial" w:hAnsi="Arial"/>
          <w:sz w:val="18"/>
          <w:szCs w:val="18"/>
          <w:color w:val="auto"/>
        </w:rPr>
      </w:pPr>
    </w:p>
    <w:p>
      <w:pPr>
        <w:ind w:left="1132" w:right="560"/>
        <w:spacing w:after="0" w:line="261" w:lineRule="auto"/>
        <w:rPr>
          <w:rFonts w:ascii="Arial" w:cs="Arial" w:eastAsia="Arial" w:hAnsi="Arial"/>
          <w:sz w:val="18"/>
          <w:szCs w:val="18"/>
          <w:color w:val="auto"/>
        </w:rPr>
      </w:pPr>
      <w:r>
        <w:rPr>
          <w:rFonts w:ascii="Arial" w:cs="Arial" w:eastAsia="Arial" w:hAnsi="Arial"/>
          <w:sz w:val="18"/>
          <w:szCs w:val="18"/>
          <w:color w:val="auto"/>
        </w:rPr>
        <w:t>in paying up in full partly paid shares of those Members who would have been entitled to such sums if they were distributed by way of dividend or distribution.</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ACCOUNTS AND FINANCIAL STATEMENTS</w:t>
      </w:r>
    </w:p>
    <w:p>
      <w:pPr>
        <w:spacing w:after="0" w:line="252" w:lineRule="exact"/>
        <w:rPr>
          <w:sz w:val="20"/>
          <w:szCs w:val="20"/>
          <w:color w:val="auto"/>
        </w:rPr>
      </w:pPr>
    </w:p>
    <w:p>
      <w:pPr>
        <w:ind w:left="572" w:hanging="572"/>
        <w:spacing w:after="0"/>
        <w:tabs>
          <w:tab w:leader="none" w:pos="57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Records of account</w:t>
      </w:r>
    </w:p>
    <w:p>
      <w:pPr>
        <w:spacing w:after="0" w:line="121" w:lineRule="exact"/>
        <w:rPr>
          <w:rFonts w:ascii="Arial" w:cs="Arial" w:eastAsia="Arial" w:hAnsi="Arial"/>
          <w:sz w:val="18"/>
          <w:szCs w:val="18"/>
          <w:color w:val="auto"/>
        </w:rPr>
      </w:pPr>
    </w:p>
    <w:p>
      <w:pPr>
        <w:ind w:left="572"/>
        <w:spacing w:after="0" w:line="264" w:lineRule="auto"/>
        <w:rPr>
          <w:rFonts w:ascii="Arial" w:cs="Arial" w:eastAsia="Arial" w:hAnsi="Arial"/>
          <w:sz w:val="18"/>
          <w:szCs w:val="18"/>
          <w:color w:val="auto"/>
        </w:rPr>
      </w:pPr>
      <w:r>
        <w:rPr>
          <w:rFonts w:ascii="Arial" w:cs="Arial" w:eastAsia="Arial" w:hAnsi="Arial"/>
          <w:sz w:val="18"/>
          <w:szCs w:val="18"/>
          <w:color w:val="auto"/>
        </w:rPr>
        <w:t>The Board shall cause to be kept proper accounting records in accordance with the requirements of the Act. The records of account shall be kept at the Registered Office or, subject to Section 83(2) of the Act, at such other place as the Board thinks fit and shall at all times be open to inspection by the Directors during normal business hours.</w:t>
      </w:r>
    </w:p>
    <w:p>
      <w:pPr>
        <w:spacing w:after="0" w:line="325" w:lineRule="exact"/>
        <w:rPr>
          <w:rFonts w:ascii="Arial" w:cs="Arial" w:eastAsia="Arial" w:hAnsi="Arial"/>
          <w:sz w:val="18"/>
          <w:szCs w:val="18"/>
          <w:color w:val="auto"/>
        </w:rPr>
      </w:pPr>
    </w:p>
    <w:p>
      <w:pPr>
        <w:ind w:left="572" w:hanging="572"/>
        <w:spacing w:after="0"/>
        <w:tabs>
          <w:tab w:leader="none" w:pos="57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Financial year end</w:t>
      </w:r>
    </w:p>
    <w:p>
      <w:pPr>
        <w:spacing w:after="0" w:line="121"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The financial year end of the Company may be determined by resolution of the Board and failing such resolution shall be 31 December in each year.</w:t>
      </w:r>
    </w:p>
    <w:p>
      <w:pPr>
        <w:spacing w:after="0" w:line="392" w:lineRule="exact"/>
        <w:rPr>
          <w:rFonts w:ascii="Arial" w:cs="Arial" w:eastAsia="Arial" w:hAnsi="Arial"/>
          <w:sz w:val="18"/>
          <w:szCs w:val="18"/>
          <w:color w:val="auto"/>
        </w:rPr>
      </w:pPr>
    </w:p>
    <w:p>
      <w:pPr>
        <w:ind w:left="572" w:hanging="572"/>
        <w:spacing w:after="0"/>
        <w:tabs>
          <w:tab w:leader="none" w:pos="57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121" w:lineRule="exact"/>
        <w:rPr>
          <w:rFonts w:ascii="Arial" w:cs="Arial" w:eastAsia="Arial" w:hAnsi="Arial"/>
          <w:sz w:val="18"/>
          <w:szCs w:val="18"/>
          <w:color w:val="auto"/>
        </w:rPr>
      </w:pPr>
    </w:p>
    <w:p>
      <w:pPr>
        <w:ind w:left="572"/>
        <w:spacing w:after="0" w:line="277" w:lineRule="auto"/>
        <w:rPr>
          <w:rFonts w:ascii="Arial" w:cs="Arial" w:eastAsia="Arial" w:hAnsi="Arial"/>
          <w:sz w:val="18"/>
          <w:szCs w:val="18"/>
          <w:color w:val="auto"/>
        </w:rPr>
      </w:pPr>
      <w:r>
        <w:rPr>
          <w:rFonts w:ascii="Arial" w:cs="Arial" w:eastAsia="Arial" w:hAnsi="Arial"/>
          <w:sz w:val="18"/>
          <w:szCs w:val="18"/>
          <w:color w:val="auto"/>
        </w:rPr>
        <w:t>Subject to any rights to waive laying of accounts pursuant to Section 88 of the Act, financial statements made out in accordance with the provisions as required by the Act shall be laid before the Members in general meeting.</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AUDIT</w:t>
      </w:r>
    </w:p>
    <w:p>
      <w:pPr>
        <w:spacing w:after="0" w:line="252" w:lineRule="exact"/>
        <w:rPr>
          <w:sz w:val="20"/>
          <w:szCs w:val="20"/>
          <w:color w:val="auto"/>
        </w:rPr>
      </w:pPr>
    </w:p>
    <w:p>
      <w:pPr>
        <w:ind w:left="572" w:hanging="572"/>
        <w:spacing w:after="0"/>
        <w:tabs>
          <w:tab w:leader="none" w:pos="57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Auditors</w:t>
      </w:r>
    </w:p>
    <w:p>
      <w:pPr>
        <w:spacing w:after="0" w:line="121" w:lineRule="exact"/>
        <w:rPr>
          <w:rFonts w:ascii="Arial" w:cs="Arial" w:eastAsia="Arial" w:hAnsi="Arial"/>
          <w:sz w:val="18"/>
          <w:szCs w:val="18"/>
          <w:color w:val="auto"/>
        </w:rPr>
      </w:pPr>
    </w:p>
    <w:p>
      <w:pPr>
        <w:ind w:left="572" w:right="180"/>
        <w:spacing w:after="0" w:line="264" w:lineRule="auto"/>
        <w:rPr>
          <w:rFonts w:ascii="Arial" w:cs="Arial" w:eastAsia="Arial" w:hAnsi="Arial"/>
          <w:sz w:val="18"/>
          <w:szCs w:val="18"/>
          <w:color w:val="auto"/>
        </w:rPr>
      </w:pPr>
      <w:r>
        <w:rPr>
          <w:rFonts w:ascii="Arial" w:cs="Arial" w:eastAsia="Arial" w:hAnsi="Arial"/>
          <w:sz w:val="18"/>
          <w:szCs w:val="18"/>
          <w:color w:val="auto"/>
        </w:rPr>
        <w:t>Subject to any rights to waive an audit pursuant to Section 88 of the Act, auditors shall be appointed by the Members or the Directors in accordance with Section 89 of the Act and their duties shall be regulated in accordance with the Act, any other applicable law and such requirements not inconsistent with the Act as the Board may from time to time determine.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92"/>
          </w:cols>
          <w:pgMar w:left="248" w:top="270" w:right="259" w:bottom="1440" w:gutter="0" w:footer="0" w:header="0"/>
        </w:sectPr>
      </w:pPr>
    </w:p>
    <w:bookmarkStart w:id="30" w:name="page31"/>
    <w:bookmarkEnd w:id="3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p>
    <w:p>
      <w:pPr>
        <w:spacing w:after="0" w:line="252" w:lineRule="exact"/>
        <w:rPr>
          <w:sz w:val="20"/>
          <w:szCs w:val="20"/>
          <w:color w:val="auto"/>
        </w:rPr>
      </w:pPr>
    </w:p>
    <w:p>
      <w:pPr>
        <w:ind w:left="572" w:hanging="572"/>
        <w:spacing w:after="0"/>
        <w:tabs>
          <w:tab w:leader="none" w:pos="57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Service of Notices and Other Documents</w:t>
      </w:r>
    </w:p>
    <w:p>
      <w:pPr>
        <w:spacing w:after="0" w:line="121" w:lineRule="exact"/>
        <w:rPr>
          <w:rFonts w:ascii="Arial" w:cs="Arial" w:eastAsia="Arial" w:hAnsi="Arial"/>
          <w:sz w:val="18"/>
          <w:szCs w:val="18"/>
          <w:color w:val="auto"/>
        </w:rPr>
      </w:pPr>
    </w:p>
    <w:p>
      <w:pPr>
        <w:ind w:left="572" w:right="760"/>
        <w:spacing w:after="0" w:line="277" w:lineRule="auto"/>
        <w:rPr>
          <w:rFonts w:ascii="Arial" w:cs="Arial" w:eastAsia="Arial" w:hAnsi="Arial"/>
          <w:sz w:val="18"/>
          <w:szCs w:val="18"/>
          <w:color w:val="auto"/>
        </w:rPr>
      </w:pPr>
      <w:r>
        <w:rPr>
          <w:rFonts w:ascii="Arial" w:cs="Arial" w:eastAsia="Arial" w:hAnsi="Arial"/>
          <w:sz w:val="18"/>
          <w:szCs w:val="18"/>
          <w:color w:val="auto"/>
        </w:rPr>
        <w:t>75.1 Any notice or other document (including but not limited to a share certificate, any notice of a general meeting of the Company and any instrument of proxy may be sent to, served on or delivered to any Member of the Company</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personally;</w:t>
      </w:r>
    </w:p>
    <w:p>
      <w:pPr>
        <w:spacing w:after="0" w:line="130" w:lineRule="exact"/>
        <w:rPr>
          <w:rFonts w:ascii="Arial" w:cs="Arial" w:eastAsia="Arial" w:hAnsi="Arial"/>
          <w:sz w:val="18"/>
          <w:szCs w:val="18"/>
          <w:color w:val="auto"/>
        </w:rPr>
      </w:pPr>
    </w:p>
    <w:p>
      <w:pPr>
        <w:ind w:left="1132" w:right="360" w:hanging="565"/>
        <w:spacing w:after="0" w:line="277" w:lineRule="auto"/>
        <w:tabs>
          <w:tab w:leader="none" w:pos="11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by sending through the post (by airmail where applicable) in a pre-paid letter addressed to such Member at his address as appearing in the Register of Members;</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by sending it by courier to or leaving it at the Members’ address appearing in the Register of Members;</w:t>
      </w:r>
    </w:p>
    <w:p>
      <w:pPr>
        <w:spacing w:after="0" w:line="130" w:lineRule="exact"/>
        <w:rPr>
          <w:rFonts w:ascii="Arial" w:cs="Arial" w:eastAsia="Arial" w:hAnsi="Arial"/>
          <w:sz w:val="18"/>
          <w:szCs w:val="18"/>
          <w:color w:val="auto"/>
        </w:rPr>
      </w:pPr>
    </w:p>
    <w:p>
      <w:pPr>
        <w:ind w:left="1132" w:right="40" w:hanging="565"/>
        <w:spacing w:after="0" w:line="264" w:lineRule="auto"/>
        <w:tabs>
          <w:tab w:leader="none" w:pos="11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by, where applicable, sending it by email or facsimile or other mode of representing or reproducing words in a legible and non-transitory form or by sending an electronic record of it by electronic means, in each case to an address or number supplied by such Member for the purposes of communication in such manner; or</w:t>
      </w:r>
    </w:p>
    <w:p>
      <w:pPr>
        <w:spacing w:after="0" w:line="86" w:lineRule="exact"/>
        <w:rPr>
          <w:rFonts w:ascii="Arial" w:cs="Arial" w:eastAsia="Arial" w:hAnsi="Arial"/>
          <w:sz w:val="18"/>
          <w:szCs w:val="18"/>
          <w:color w:val="auto"/>
        </w:rPr>
      </w:pPr>
    </w:p>
    <w:p>
      <w:pPr>
        <w:ind w:left="1132" w:hanging="565"/>
        <w:spacing w:after="0" w:line="264" w:lineRule="auto"/>
        <w:tabs>
          <w:tab w:leader="none" w:pos="11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by publication of an electronic record of it on a website and notification of such publication (which shall include the address of the website, the place on the website where the document may be found, and how the document may be accessed on the website) by any of the methods set out in paragraphs (a), (b), (c) or (d) of this Bye-law, in accordance with the Act.</w:t>
      </w:r>
    </w:p>
    <w:p>
      <w:pPr>
        <w:spacing w:after="0" w:line="73" w:lineRule="exact"/>
        <w:rPr>
          <w:sz w:val="20"/>
          <w:szCs w:val="20"/>
          <w:color w:val="auto"/>
        </w:rPr>
      </w:pPr>
    </w:p>
    <w:p>
      <w:pPr>
        <w:ind w:left="572" w:right="320"/>
        <w:spacing w:after="0" w:line="277" w:lineRule="auto"/>
        <w:rPr>
          <w:sz w:val="20"/>
          <w:szCs w:val="20"/>
          <w:color w:val="auto"/>
        </w:rPr>
      </w:pPr>
      <w:r>
        <w:rPr>
          <w:rFonts w:ascii="Arial" w:cs="Arial" w:eastAsia="Arial" w:hAnsi="Arial"/>
          <w:sz w:val="18"/>
          <w:szCs w:val="18"/>
          <w:color w:val="auto"/>
        </w:rPr>
        <w:t>In the case of joint holders of a share, service or delivery of any notice or other document on or to one of the joint holders shall for all purposes be deemed as sufficient service on or delivery to all joint holders.</w:t>
      </w:r>
    </w:p>
    <w:p>
      <w:pPr>
        <w:spacing w:after="0" w:line="76"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75.2</w:t>
      </w:r>
      <w:r>
        <w:rPr>
          <w:sz w:val="20"/>
          <w:szCs w:val="20"/>
          <w:color w:val="auto"/>
        </w:rPr>
        <w:tab/>
      </w:r>
      <w:r>
        <w:rPr>
          <w:rFonts w:ascii="Arial" w:cs="Arial" w:eastAsia="Arial" w:hAnsi="Arial"/>
          <w:sz w:val="16"/>
          <w:szCs w:val="16"/>
          <w:color w:val="auto"/>
        </w:rPr>
        <w:t>Any notice or other document shall be deemed to have been served or delivered to any Member by the Company</w:t>
      </w:r>
    </w:p>
    <w:p>
      <w:pPr>
        <w:spacing w:after="0" w:line="131" w:lineRule="exact"/>
        <w:rPr>
          <w:sz w:val="20"/>
          <w:szCs w:val="20"/>
          <w:color w:val="auto"/>
        </w:rPr>
      </w:pPr>
    </w:p>
    <w:p>
      <w:pPr>
        <w:ind w:left="1132" w:hanging="565"/>
        <w:spacing w:after="0"/>
        <w:tabs>
          <w:tab w:leader="none" w:pos="11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sent by personal delivery, at the time of delivery;</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sent by post, forty-eight hours after it was put in the post;</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sent by courier or facsimile, twenty-four hours after sending;</w:t>
      </w:r>
    </w:p>
    <w:p>
      <w:pPr>
        <w:spacing w:after="0" w:line="130" w:lineRule="exact"/>
        <w:rPr>
          <w:rFonts w:ascii="Arial" w:cs="Arial" w:eastAsia="Arial" w:hAnsi="Arial"/>
          <w:sz w:val="18"/>
          <w:szCs w:val="18"/>
          <w:color w:val="auto"/>
        </w:rPr>
      </w:pPr>
    </w:p>
    <w:p>
      <w:pPr>
        <w:ind w:left="1132" w:right="680" w:hanging="565"/>
        <w:spacing w:after="0" w:line="277" w:lineRule="auto"/>
        <w:tabs>
          <w:tab w:leader="none" w:pos="11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sent by email or other mode of representing or reproducing words in a legible and non-transitory form or as an electronic record by electronic means, twelve hours after sending; or</w:t>
      </w:r>
    </w:p>
    <w:p>
      <w:pPr>
        <w:spacing w:after="0" w:line="75" w:lineRule="exact"/>
        <w:rPr>
          <w:rFonts w:ascii="Arial" w:cs="Arial" w:eastAsia="Arial" w:hAnsi="Arial"/>
          <w:sz w:val="18"/>
          <w:szCs w:val="18"/>
          <w:color w:val="auto"/>
        </w:rPr>
      </w:pPr>
    </w:p>
    <w:p>
      <w:pPr>
        <w:ind w:left="1132" w:right="20" w:hanging="565"/>
        <w:spacing w:after="0" w:line="277" w:lineRule="auto"/>
        <w:tabs>
          <w:tab w:leader="none" w:pos="11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published as an electronic record on a website, at the time that the notification of such publication shall be deemed to have been delivered to such Member,</w:t>
      </w:r>
    </w:p>
    <w:p>
      <w:pPr>
        <w:spacing w:after="0" w:line="62" w:lineRule="exact"/>
        <w:rPr>
          <w:sz w:val="20"/>
          <w:szCs w:val="20"/>
          <w:color w:val="auto"/>
        </w:rPr>
      </w:pPr>
    </w:p>
    <w:p>
      <w:pPr>
        <w:jc w:val="both"/>
        <w:ind w:left="572" w:right="120"/>
        <w:spacing w:after="0" w:line="264" w:lineRule="auto"/>
        <w:rPr>
          <w:sz w:val="20"/>
          <w:szCs w:val="20"/>
          <w:color w:val="auto"/>
        </w:rPr>
      </w:pPr>
      <w:r>
        <w:rPr>
          <w:rFonts w:ascii="Arial" w:cs="Arial" w:eastAsia="Arial" w:hAnsi="Arial"/>
          <w:sz w:val="18"/>
          <w:szCs w:val="18"/>
          <w:color w:val="auto"/>
        </w:rPr>
        <w:t>and in proving such service or delivery, it shall be sufficient to prove that the notice or document was properly addressed and stamped and put in the post, published on a website in accordance with the Act and the provisions of these Bye-Laws, or sent by courier, facsimile, email or as an electronic record by electronic means, as the case may be, in accordance with these Bye-laws.</w:t>
      </w:r>
    </w:p>
    <w:p>
      <w:pPr>
        <w:spacing w:after="0" w:line="73" w:lineRule="exact"/>
        <w:rPr>
          <w:sz w:val="20"/>
          <w:szCs w:val="20"/>
          <w:color w:val="auto"/>
        </w:rPr>
      </w:pPr>
    </w:p>
    <w:p>
      <w:pPr>
        <w:ind w:left="572" w:right="280"/>
        <w:spacing w:after="0" w:line="312" w:lineRule="auto"/>
        <w:rPr>
          <w:sz w:val="20"/>
          <w:szCs w:val="20"/>
          <w:color w:val="auto"/>
        </w:rPr>
      </w:pPr>
      <w:r>
        <w:rPr>
          <w:rFonts w:ascii="Arial" w:cs="Arial" w:eastAsia="Arial" w:hAnsi="Arial"/>
          <w:sz w:val="16"/>
          <w:szCs w:val="16"/>
          <w:color w:val="auto"/>
        </w:rPr>
        <w:t>Each Member and each person becoming a Member for the Company subsequent to the adoption of these Bye-laws, by virtue of its holding or its acquisition and continued holding of a share, as applicable, shall be deemed to have acknowledged and agreed that any notice or other document (excluding a share certificate) may be provided by the Company by way of accessing them on a website instead of being provided by other means.</w:t>
      </w:r>
    </w:p>
    <w:p>
      <w:pPr>
        <w:spacing w:after="0" w:line="52" w:lineRule="exact"/>
        <w:rPr>
          <w:sz w:val="20"/>
          <w:szCs w:val="20"/>
          <w:color w:val="auto"/>
        </w:rPr>
      </w:pPr>
    </w:p>
    <w:p>
      <w:pPr>
        <w:ind w:left="1132" w:right="300" w:hanging="566"/>
        <w:spacing w:after="0" w:line="342" w:lineRule="auto"/>
        <w:tabs>
          <w:tab w:leader="none" w:pos="1112" w:val="left"/>
        </w:tabs>
        <w:rPr>
          <w:sz w:val="20"/>
          <w:szCs w:val="20"/>
          <w:color w:val="auto"/>
        </w:rPr>
      </w:pPr>
      <w:r>
        <w:rPr>
          <w:rFonts w:ascii="Arial" w:cs="Arial" w:eastAsia="Arial" w:hAnsi="Arial"/>
          <w:sz w:val="18"/>
          <w:szCs w:val="18"/>
          <w:color w:val="auto"/>
        </w:rPr>
        <w:t>75.3</w:t>
      </w:r>
      <w:r>
        <w:rPr>
          <w:sz w:val="20"/>
          <w:szCs w:val="20"/>
          <w:color w:val="auto"/>
        </w:rPr>
        <w:tab/>
      </w:r>
      <w:r>
        <w:rPr>
          <w:rFonts w:ascii="Arial" w:cs="Arial" w:eastAsia="Arial" w:hAnsi="Arial"/>
          <w:sz w:val="16"/>
          <w:szCs w:val="16"/>
          <w:color w:val="auto"/>
        </w:rPr>
        <w:t>Any notice or other document delivered, sent or given to a Member in any manner permitted by these Bye-laws shall, notwithstanding that such Member is then dead or bankrupt or that any other event has occurred, and whether or not the Company has</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270" w:right="239" w:bottom="1440" w:gutter="0" w:footer="0" w:header="0"/>
        </w:sectPr>
      </w:pPr>
    </w:p>
    <w:bookmarkStart w:id="31" w:name="page32"/>
    <w:bookmarkEnd w:id="31"/>
    <w:p>
      <w:pPr>
        <w:ind w:left="1132"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shares, and such service or delivery shall for all purposes be deemed as sufficient service or delivery of such notice or document on all persons interested (whether jointly with or as claiming through or under him) in the share.</w:t>
      </w:r>
    </w:p>
    <w:p>
      <w:pPr>
        <w:spacing w:after="0" w:line="60" w:lineRule="exact"/>
        <w:rPr>
          <w:sz w:val="20"/>
          <w:szCs w:val="20"/>
          <w:color w:val="auto"/>
        </w:rPr>
      </w:pPr>
    </w:p>
    <w:p>
      <w:pPr>
        <w:ind w:left="1132" w:right="20" w:hanging="566"/>
        <w:spacing w:after="0" w:line="264" w:lineRule="auto"/>
        <w:tabs>
          <w:tab w:leader="none" w:pos="1112" w:val="left"/>
        </w:tabs>
        <w:rPr>
          <w:sz w:val="20"/>
          <w:szCs w:val="20"/>
          <w:color w:val="auto"/>
        </w:rPr>
      </w:pPr>
      <w:r>
        <w:rPr>
          <w:rFonts w:ascii="Arial" w:cs="Arial" w:eastAsia="Arial" w:hAnsi="Arial"/>
          <w:sz w:val="18"/>
          <w:szCs w:val="18"/>
          <w:color w:val="auto"/>
        </w:rPr>
        <w:t>75.4</w:t>
        <w:tab/>
        <w:t>Save as otherwise provided, the provisions of these Bye-laws as to service of notices and other documents on Members shall mutatis mutandis apply to service or delivery of notices and other documents to the Company or any Director, Alternate Director or Resident Representative pursuant to these Bye-laws.</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WINDING UP</w:t>
      </w:r>
    </w:p>
    <w:p>
      <w:pPr>
        <w:spacing w:after="0" w:line="252" w:lineRule="exact"/>
        <w:rPr>
          <w:sz w:val="20"/>
          <w:szCs w:val="20"/>
          <w:color w:val="auto"/>
        </w:rPr>
      </w:pPr>
    </w:p>
    <w:p>
      <w:pPr>
        <w:ind w:left="572" w:hanging="572"/>
        <w:spacing w:after="0"/>
        <w:tabs>
          <w:tab w:leader="none" w:pos="572"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Winding-up/distribution by liquidator</w:t>
      </w:r>
    </w:p>
    <w:p>
      <w:pPr>
        <w:spacing w:after="0" w:line="121" w:lineRule="exact"/>
        <w:rPr>
          <w:rFonts w:ascii="Arial" w:cs="Arial" w:eastAsia="Arial" w:hAnsi="Arial"/>
          <w:sz w:val="18"/>
          <w:szCs w:val="18"/>
          <w:color w:val="auto"/>
        </w:rPr>
      </w:pPr>
    </w:p>
    <w:p>
      <w:pPr>
        <w:ind w:left="572" w:right="40"/>
        <w:spacing w:after="0" w:line="273" w:lineRule="auto"/>
        <w:rPr>
          <w:rFonts w:ascii="Arial" w:cs="Arial" w:eastAsia="Arial" w:hAnsi="Arial"/>
          <w:sz w:val="18"/>
          <w:szCs w:val="18"/>
          <w:color w:val="auto"/>
        </w:rPr>
      </w:pPr>
      <w:r>
        <w:rPr>
          <w:rFonts w:ascii="Arial" w:cs="Arial" w:eastAsia="Arial" w:hAnsi="Arial"/>
          <w:sz w:val="17"/>
          <w:szCs w:val="17"/>
          <w:color w:val="auto"/>
        </w:rPr>
        <w:t>If the Company is wound up, the liquidator may, with the sanction of a Resolution of the Members and any other sanction required by the Act, divide amongst the Members in specie or kind the whole or any part of the assets of the Company (whether they shall consist of property of the same kind or not) and may for such purposes set such values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 for the benefit of the contributories as the liquidator, with the like sanction, shall think fit, but so that no Member shall be compelled to accept any shares or other assets upon which there is any liability.</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INDEMNITY</w:t>
      </w:r>
    </w:p>
    <w:p>
      <w:pPr>
        <w:spacing w:after="0" w:line="252" w:lineRule="exact"/>
        <w:rPr>
          <w:sz w:val="20"/>
          <w:szCs w:val="20"/>
          <w:color w:val="auto"/>
        </w:rPr>
      </w:pPr>
    </w:p>
    <w:p>
      <w:pPr>
        <w:ind w:left="572" w:hanging="572"/>
        <w:spacing w:after="0"/>
        <w:tabs>
          <w:tab w:leader="none" w:pos="572"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Indemnification of Directors and Officers</w:t>
      </w:r>
    </w:p>
    <w:p>
      <w:pPr>
        <w:spacing w:after="0" w:line="134" w:lineRule="exact"/>
        <w:rPr>
          <w:rFonts w:ascii="Arial" w:cs="Arial" w:eastAsia="Arial" w:hAnsi="Arial"/>
          <w:sz w:val="18"/>
          <w:szCs w:val="18"/>
          <w:color w:val="auto"/>
        </w:rPr>
      </w:pPr>
    </w:p>
    <w:p>
      <w:pPr>
        <w:ind w:left="1132" w:hanging="567"/>
        <w:spacing w:after="0" w:line="286" w:lineRule="auto"/>
        <w:rPr>
          <w:rFonts w:ascii="Arial" w:cs="Arial" w:eastAsia="Arial" w:hAnsi="Arial"/>
          <w:sz w:val="18"/>
          <w:szCs w:val="18"/>
          <w:color w:val="auto"/>
        </w:rPr>
      </w:pPr>
      <w:r>
        <w:rPr>
          <w:rFonts w:ascii="Arial" w:cs="Arial" w:eastAsia="Arial" w:hAnsi="Arial"/>
          <w:sz w:val="16"/>
          <w:szCs w:val="16"/>
          <w:color w:val="auto"/>
        </w:rPr>
        <w:t>77.1 The Directors, Secretary and other Officers (such term to include any person appointed to any committee by the Board) for the time being acting in relation to any of the affairs of the Company, any subsidiary thereof, and the liquidator or trustees (if any) for the time being acting in relation to any of the affairs of the Company or any subsidiary thereof and every one of them, and their heirs, executors and administrators, shall be indemnified and secured harmless out of the assets of the Company from and against all actions, costs, charges, losses, damages and expenses which they or any of them, their heirs, executors or administrators, shall or may incur or sustain by or by reason of any act done, concurred in or omitted in or about the execution of their duty, or supposed duty, or in their respective offices or trusts, and none of them shall be answerable for the acts, receipts, neglects or defaults of the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the said persons. Each Member agrees to waive any claim or right of action such Member might have, whether individually or by or in the right of the Company, against any Director or Officer on account of any action taken by such Director or Officer, or the failure of such Director or Officer to take any action in the performance of his duties with or for the Company or any subsidiary thereof, PROVIDED THAT such waiver shall not extend to any matter in respect of any fraud or dishonesty which may attach to such Director or Officer.</w:t>
      </w:r>
    </w:p>
    <w:p>
      <w:pPr>
        <w:spacing w:after="0" w:line="1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274" w:right="239" w:bottom="1440" w:gutter="0" w:footer="0" w:header="0"/>
        </w:sectPr>
      </w:pPr>
    </w:p>
    <w:bookmarkStart w:id="32" w:name="page33"/>
    <w:bookmarkEnd w:id="32"/>
    <w:p>
      <w:pPr>
        <w:ind w:left="1132" w:hanging="566"/>
        <w:spacing w:after="0" w:line="259" w:lineRule="auto"/>
        <w:tabs>
          <w:tab w:leader="none" w:pos="11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77.2</w:t>
        <w:tab/>
        <w:t>The Company may purchase and maintain insurance for the benefit of any Director or Officer against any liability incurred by him under the Act in his capacity as a Director or Officer or indemnifying such Director or Officer in respect of any loss arising or liability attaching to him by virtue of any rule of law in respect of any negligence, default, breach of duty or breach of trust of which the Director or Officer may be guilty in relation to the Company or any subsidiary thereof.</w:t>
      </w:r>
    </w:p>
    <w:p>
      <w:pPr>
        <w:spacing w:after="0" w:line="92" w:lineRule="exact"/>
        <w:rPr>
          <w:sz w:val="20"/>
          <w:szCs w:val="20"/>
          <w:color w:val="auto"/>
        </w:rPr>
      </w:pPr>
    </w:p>
    <w:p>
      <w:pPr>
        <w:ind w:left="1132" w:right="20" w:hanging="566"/>
        <w:spacing w:after="0" w:line="264" w:lineRule="auto"/>
        <w:tabs>
          <w:tab w:leader="none" w:pos="1112" w:val="left"/>
        </w:tabs>
        <w:rPr>
          <w:sz w:val="20"/>
          <w:szCs w:val="20"/>
          <w:color w:val="auto"/>
        </w:rPr>
      </w:pPr>
      <w:r>
        <w:rPr>
          <w:rFonts w:ascii="Arial" w:cs="Arial" w:eastAsia="Arial" w:hAnsi="Arial"/>
          <w:sz w:val="18"/>
          <w:szCs w:val="18"/>
          <w:color w:val="auto"/>
        </w:rPr>
        <w:t>77.3</w:t>
        <w:tab/>
        <w:t>The Company may advance moneys to a Director or Officer for the costs, charges and expenses incurred by the Director or Officer in defending any civil or criminal proceedings against him, on condition that the Director or Officer shall repay the advance if any allegation of fraud or dishonesty is proved against him.</w:t>
      </w:r>
    </w:p>
    <w:p>
      <w:pPr>
        <w:spacing w:after="0" w:line="393"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ALTERATION OF BYE-LAWS</w:t>
      </w:r>
    </w:p>
    <w:p>
      <w:pPr>
        <w:spacing w:after="0" w:line="252" w:lineRule="exact"/>
        <w:rPr>
          <w:sz w:val="20"/>
          <w:szCs w:val="20"/>
          <w:color w:val="auto"/>
        </w:rPr>
      </w:pPr>
    </w:p>
    <w:p>
      <w:pPr>
        <w:ind w:left="572" w:hanging="572"/>
        <w:spacing w:after="0"/>
        <w:tabs>
          <w:tab w:leader="none" w:pos="57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Alteration of Bye-laws</w:t>
      </w:r>
    </w:p>
    <w:p>
      <w:pPr>
        <w:spacing w:after="0" w:line="121"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These Bye-laws may be amended from time to time in the manner provided for in the Act.</w:t>
      </w:r>
    </w:p>
    <w:p>
      <w:pPr>
        <w:spacing w:after="0" w:line="15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92"/>
          </w:cols>
          <w:pgMar w:left="248" w:top="274"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December 7, 2015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FREESCALE SEMICONDUCTOR,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Guarantors listed herein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 BANK OF NEW YORK MELLON TRUST COMPANY, N.A.,</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5.000% SENIOR SECURED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255270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297815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884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840" w:type="dxa"/>
            <w:vAlign w:val="bottom"/>
            <w:vMerge w:val="restart"/>
          </w:tcPr>
          <w:p>
            <w:pPr>
              <w:jc w:val="center"/>
              <w:ind w:left="2410"/>
              <w:spacing w:after="0"/>
              <w:rPr>
                <w:sz w:val="20"/>
                <w:szCs w:val="20"/>
                <w:color w:val="auto"/>
              </w:rPr>
            </w:pPr>
            <w:r>
              <w:rPr>
                <w:rFonts w:ascii="Arial" w:cs="Arial" w:eastAsia="Arial" w:hAnsi="Arial"/>
                <w:sz w:val="18"/>
                <w:szCs w:val="18"/>
                <w:color w:val="auto"/>
                <w:w w:val="99"/>
              </w:rPr>
              <w:t>ARTICLE I</w:t>
            </w:r>
          </w:p>
        </w:tc>
        <w:tc>
          <w:tcPr>
            <w:tcW w:w="248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6"/>
        </w:trPr>
        <w:tc>
          <w:tcPr>
            <w:tcW w:w="88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840" w:type="dxa"/>
            <w:vAlign w:val="bottom"/>
          </w:tcPr>
          <w:p>
            <w:pPr>
              <w:jc w:val="center"/>
              <w:ind w:left="2390"/>
              <w:spacing w:after="0"/>
              <w:rPr>
                <w:sz w:val="20"/>
                <w:szCs w:val="20"/>
                <w:color w:val="auto"/>
              </w:rPr>
            </w:pPr>
            <w:r>
              <w:rPr>
                <w:rFonts w:ascii="Arial" w:cs="Arial" w:eastAsia="Arial" w:hAnsi="Arial"/>
                <w:sz w:val="18"/>
                <w:szCs w:val="18"/>
                <w:color w:val="auto"/>
                <w:w w:val="98"/>
              </w:rPr>
              <w:t>DEFINITIONS</w:t>
            </w: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84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1.02. Other Definitions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1.03. Rules of Construction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1.04. Acts of Holders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8840" w:type="dxa"/>
            <w:vAlign w:val="bottom"/>
          </w:tcPr>
          <w:p>
            <w:pPr>
              <w:jc w:val="center"/>
              <w:ind w:left="2390"/>
              <w:spacing w:after="0"/>
              <w:rPr>
                <w:sz w:val="20"/>
                <w:szCs w:val="20"/>
                <w:color w:val="auto"/>
              </w:rPr>
            </w:pPr>
            <w:r>
              <w:rPr>
                <w:rFonts w:ascii="Arial" w:cs="Arial" w:eastAsia="Arial" w:hAnsi="Arial"/>
                <w:sz w:val="18"/>
                <w:szCs w:val="18"/>
                <w:color w:val="auto"/>
              </w:rPr>
              <w:t>ARTICLE II</w:t>
            </w: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40" w:type="dxa"/>
            <w:vAlign w:val="bottom"/>
          </w:tcPr>
          <w:p>
            <w:pPr>
              <w:jc w:val="center"/>
              <w:ind w:left="2410"/>
              <w:spacing w:after="0"/>
              <w:rPr>
                <w:sz w:val="20"/>
                <w:szCs w:val="20"/>
                <w:color w:val="auto"/>
              </w:rPr>
            </w:pPr>
            <w:r>
              <w:rPr>
                <w:rFonts w:ascii="Arial" w:cs="Arial" w:eastAsia="Arial" w:hAnsi="Arial"/>
                <w:sz w:val="18"/>
                <w:szCs w:val="18"/>
                <w:color w:val="auto"/>
                <w:w w:val="95"/>
              </w:rPr>
              <w:t>THE NOTES</w:t>
            </w: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840" w:type="dxa"/>
            <w:vAlign w:val="bottom"/>
          </w:tcPr>
          <w:p>
            <w:pPr>
              <w:spacing w:after="0"/>
              <w:rPr>
                <w:sz w:val="20"/>
                <w:szCs w:val="20"/>
                <w:color w:val="auto"/>
              </w:rPr>
            </w:pPr>
            <w:r>
              <w:rPr>
                <w:rFonts w:ascii="Arial" w:cs="Arial" w:eastAsia="Arial" w:hAnsi="Arial"/>
                <w:sz w:val="18"/>
                <w:szCs w:val="18"/>
                <w:color w:val="auto"/>
              </w:rPr>
              <w:t>SECTION 2.01. Form and Dating; Terms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2.02. Execution and Authentication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2.03. Registrar and Paying Agent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2.04. Paying Agent to Hold Money in Trust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2.05. Holder Lists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2.06. Transfer and Exchange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2.07. Replacement Notes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2.08. Outstanding Notes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2.09. Treasury Notes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2.10. Temporary Notes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2.11. Cancellation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2.12. Defaulted Interest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2.13. CUSIP/ISIN Numbers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24"/>
        </w:trPr>
        <w:tc>
          <w:tcPr>
            <w:tcW w:w="8840" w:type="dxa"/>
            <w:vAlign w:val="bottom"/>
          </w:tcPr>
          <w:p>
            <w:pPr>
              <w:jc w:val="center"/>
              <w:ind w:left="2410"/>
              <w:spacing w:after="0"/>
              <w:rPr>
                <w:sz w:val="20"/>
                <w:szCs w:val="20"/>
                <w:color w:val="auto"/>
              </w:rPr>
            </w:pPr>
            <w:r>
              <w:rPr>
                <w:rFonts w:ascii="Arial" w:cs="Arial" w:eastAsia="Arial" w:hAnsi="Arial"/>
                <w:sz w:val="18"/>
                <w:szCs w:val="18"/>
                <w:color w:val="auto"/>
              </w:rPr>
              <w:t>ARTICLE III</w:t>
            </w: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40" w:type="dxa"/>
            <w:vAlign w:val="bottom"/>
          </w:tcPr>
          <w:p>
            <w:pPr>
              <w:jc w:val="center"/>
              <w:ind w:left="2390"/>
              <w:spacing w:after="0"/>
              <w:rPr>
                <w:sz w:val="20"/>
                <w:szCs w:val="20"/>
                <w:color w:val="auto"/>
              </w:rPr>
            </w:pPr>
            <w:r>
              <w:rPr>
                <w:rFonts w:ascii="Arial" w:cs="Arial" w:eastAsia="Arial" w:hAnsi="Arial"/>
                <w:sz w:val="18"/>
                <w:szCs w:val="18"/>
                <w:color w:val="auto"/>
                <w:w w:val="96"/>
              </w:rPr>
              <w:t>REDEMPTION</w:t>
            </w: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840" w:type="dxa"/>
            <w:vAlign w:val="bottom"/>
          </w:tcPr>
          <w:p>
            <w:pPr>
              <w:spacing w:after="0"/>
              <w:rPr>
                <w:sz w:val="20"/>
                <w:szCs w:val="20"/>
                <w:color w:val="auto"/>
              </w:rPr>
            </w:pPr>
            <w:r>
              <w:rPr>
                <w:rFonts w:ascii="Arial" w:cs="Arial" w:eastAsia="Arial" w:hAnsi="Arial"/>
                <w:sz w:val="18"/>
                <w:szCs w:val="18"/>
                <w:color w:val="auto"/>
              </w:rPr>
              <w:t>SECTION 3.01. Notices to Trustee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3.02. Selection of Notes to Be Redeemed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3.03. Notice of Redemption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3.04. Effect of Notice of Redemption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3.05. Deposit of Redemption Price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3.06. Notes Redeemed in Part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3.07. Optional Redemption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3.08. Mandatory Redemption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3.09. Offers to Repurchase by Application of Excess Proceeds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24"/>
        </w:trPr>
        <w:tc>
          <w:tcPr>
            <w:tcW w:w="8840" w:type="dxa"/>
            <w:vAlign w:val="bottom"/>
          </w:tcPr>
          <w:p>
            <w:pPr>
              <w:jc w:val="center"/>
              <w:ind w:left="2410"/>
              <w:spacing w:after="0"/>
              <w:rPr>
                <w:sz w:val="20"/>
                <w:szCs w:val="20"/>
                <w:color w:val="auto"/>
              </w:rPr>
            </w:pPr>
            <w:r>
              <w:rPr>
                <w:rFonts w:ascii="Arial" w:cs="Arial" w:eastAsia="Arial" w:hAnsi="Arial"/>
                <w:sz w:val="18"/>
                <w:szCs w:val="18"/>
                <w:color w:val="auto"/>
                <w:w w:val="99"/>
              </w:rPr>
              <w:t>ARTICLE IV</w:t>
            </w: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840" w:type="dxa"/>
            <w:vAlign w:val="bottom"/>
          </w:tcPr>
          <w:p>
            <w:pPr>
              <w:jc w:val="center"/>
              <w:ind w:left="2410"/>
              <w:spacing w:after="0"/>
              <w:rPr>
                <w:sz w:val="20"/>
                <w:szCs w:val="20"/>
                <w:color w:val="auto"/>
              </w:rPr>
            </w:pPr>
            <w:r>
              <w:rPr>
                <w:rFonts w:ascii="Arial" w:cs="Arial" w:eastAsia="Arial" w:hAnsi="Arial"/>
                <w:sz w:val="18"/>
                <w:szCs w:val="18"/>
                <w:color w:val="auto"/>
                <w:w w:val="98"/>
              </w:rPr>
              <w:t>COVENANTS</w:t>
            </w: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SECTION 4.01. Payment of Notes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SECTION 4.02. Maintenance of Office or Agency</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4.03. Reports and Other Information</w:t>
            </w:r>
          </w:p>
        </w:tc>
        <w:tc>
          <w:tcPr>
            <w:tcW w:w="1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4.04. Compliance Certificate</w:t>
            </w: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4.05. Taxes</w:t>
            </w: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4.06. Stay, Extension and Usury Laws</w:t>
            </w:r>
          </w:p>
        </w:tc>
        <w:tc>
          <w:tcPr>
            <w:tcW w:w="1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4.07. Limitation on Restricted Payments</w:t>
            </w:r>
          </w:p>
        </w:tc>
        <w:tc>
          <w:tcPr>
            <w:tcW w:w="1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4.08. Dividend and Other Payment Restrictions Affecting Restricted Subsidiaries</w:t>
            </w:r>
          </w:p>
        </w:tc>
        <w:tc>
          <w:tcPr>
            <w:tcW w:w="16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4.09. Limitation on Incurrence of Indebtedness and Issuance of Disqualified Stock and Preferred Stock</w:t>
            </w:r>
          </w:p>
        </w:tc>
        <w:tc>
          <w:tcPr>
            <w:tcW w:w="1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4.10. Asset Sales</w:t>
            </w:r>
          </w:p>
        </w:tc>
        <w:tc>
          <w:tcPr>
            <w:tcW w:w="16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4.11. Transactions with Affiliates</w:t>
            </w:r>
          </w:p>
        </w:tc>
        <w:tc>
          <w:tcPr>
            <w:tcW w:w="16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4.12. Liens</w:t>
            </w:r>
          </w:p>
        </w:tc>
        <w:tc>
          <w:tcPr>
            <w:tcW w:w="16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4.13. Company Existence</w:t>
            </w:r>
          </w:p>
        </w:tc>
        <w:tc>
          <w:tcPr>
            <w:tcW w:w="16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4.14. Offer to Repurchase Upon Change of Control</w:t>
            </w:r>
          </w:p>
        </w:tc>
        <w:tc>
          <w:tcPr>
            <w:tcW w:w="16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4.15. Limitation on Guarantees of Indebtedness by Restricted Subsidiaries</w:t>
            </w:r>
          </w:p>
        </w:tc>
        <w:tc>
          <w:tcPr>
            <w:tcW w:w="16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SECTION 4.16. Suspension of Covenants</w:t>
            </w:r>
          </w:p>
        </w:tc>
        <w:tc>
          <w:tcPr>
            <w:tcW w:w="16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9680" w:type="dxa"/>
            <w:vAlign w:val="bottom"/>
          </w:tcPr>
          <w:p>
            <w:pPr>
              <w:jc w:val="center"/>
              <w:ind w:left="1550"/>
              <w:spacing w:after="0"/>
              <w:rPr>
                <w:sz w:val="20"/>
                <w:szCs w:val="20"/>
                <w:color w:val="auto"/>
              </w:rPr>
            </w:pPr>
            <w:r>
              <w:rPr>
                <w:rFonts w:ascii="Arial" w:cs="Arial" w:eastAsia="Arial" w:hAnsi="Arial"/>
                <w:sz w:val="18"/>
                <w:szCs w:val="18"/>
                <w:color w:val="auto"/>
                <w:w w:val="98"/>
              </w:rPr>
              <w:t>ARTICLE V</w:t>
            </w:r>
          </w:p>
        </w:tc>
        <w:tc>
          <w:tcPr>
            <w:tcW w:w="1640" w:type="dxa"/>
            <w:vAlign w:val="bottom"/>
          </w:tcPr>
          <w:p>
            <w:pPr>
              <w:spacing w:after="0"/>
              <w:rPr>
                <w:sz w:val="24"/>
                <w:szCs w:val="24"/>
                <w:color w:val="auto"/>
              </w:rPr>
            </w:pPr>
          </w:p>
        </w:tc>
      </w:tr>
      <w:tr>
        <w:trPr>
          <w:trHeight w:val="324"/>
        </w:trPr>
        <w:tc>
          <w:tcPr>
            <w:tcW w:w="9680" w:type="dxa"/>
            <w:vAlign w:val="bottom"/>
          </w:tcPr>
          <w:p>
            <w:pPr>
              <w:jc w:val="center"/>
              <w:ind w:left="1570"/>
              <w:spacing w:after="0"/>
              <w:rPr>
                <w:sz w:val="20"/>
                <w:szCs w:val="20"/>
                <w:color w:val="auto"/>
              </w:rPr>
            </w:pPr>
            <w:r>
              <w:rPr>
                <w:rFonts w:ascii="Arial" w:cs="Arial" w:eastAsia="Arial" w:hAnsi="Arial"/>
                <w:sz w:val="18"/>
                <w:szCs w:val="18"/>
                <w:color w:val="auto"/>
                <w:w w:val="90"/>
              </w:rPr>
              <w:t>SUCCESSORS</w:t>
            </w:r>
          </w:p>
        </w:tc>
        <w:tc>
          <w:tcPr>
            <w:tcW w:w="1640" w:type="dxa"/>
            <w:vAlign w:val="bottom"/>
          </w:tcPr>
          <w:p>
            <w:pPr>
              <w:spacing w:after="0"/>
              <w:rPr>
                <w:sz w:val="24"/>
                <w:szCs w:val="24"/>
                <w:color w:val="auto"/>
              </w:rPr>
            </w:pPr>
          </w:p>
        </w:tc>
      </w:tr>
      <w:tr>
        <w:trPr>
          <w:trHeight w:val="310"/>
        </w:trPr>
        <w:tc>
          <w:tcPr>
            <w:tcW w:w="9680" w:type="dxa"/>
            <w:vAlign w:val="bottom"/>
          </w:tcPr>
          <w:p>
            <w:pPr>
              <w:spacing w:after="0"/>
              <w:rPr>
                <w:sz w:val="20"/>
                <w:szCs w:val="20"/>
                <w:color w:val="auto"/>
              </w:rPr>
            </w:pPr>
            <w:r>
              <w:rPr>
                <w:rFonts w:ascii="Arial" w:cs="Arial" w:eastAsia="Arial" w:hAnsi="Arial"/>
                <w:sz w:val="18"/>
                <w:szCs w:val="18"/>
                <w:color w:val="auto"/>
              </w:rPr>
              <w:t>SECTION 5.01. Merger, Consolidation or Sale of All or Substantially All Assets</w:t>
            </w:r>
          </w:p>
        </w:tc>
        <w:tc>
          <w:tcPr>
            <w:tcW w:w="16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SECTION 5.02. Successor Corporation Substituted</w:t>
            </w:r>
          </w:p>
        </w:tc>
        <w:tc>
          <w:tcPr>
            <w:tcW w:w="16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9680" w:type="dxa"/>
            <w:vAlign w:val="bottom"/>
          </w:tcPr>
          <w:p>
            <w:pPr>
              <w:jc w:val="center"/>
              <w:ind w:left="1570"/>
              <w:spacing w:after="0"/>
              <w:rPr>
                <w:sz w:val="20"/>
                <w:szCs w:val="20"/>
                <w:color w:val="auto"/>
              </w:rPr>
            </w:pPr>
            <w:r>
              <w:rPr>
                <w:rFonts w:ascii="Arial" w:cs="Arial" w:eastAsia="Arial" w:hAnsi="Arial"/>
                <w:sz w:val="18"/>
                <w:szCs w:val="18"/>
                <w:color w:val="auto"/>
                <w:w w:val="99"/>
              </w:rPr>
              <w:t>ARTICLE VI</w:t>
            </w:r>
          </w:p>
        </w:tc>
        <w:tc>
          <w:tcPr>
            <w:tcW w:w="1640" w:type="dxa"/>
            <w:vAlign w:val="bottom"/>
          </w:tcPr>
          <w:p>
            <w:pPr>
              <w:spacing w:after="0"/>
              <w:rPr>
                <w:sz w:val="24"/>
                <w:szCs w:val="24"/>
                <w:color w:val="auto"/>
              </w:rPr>
            </w:pPr>
          </w:p>
        </w:tc>
      </w:tr>
      <w:tr>
        <w:trPr>
          <w:trHeight w:val="324"/>
        </w:trPr>
        <w:tc>
          <w:tcPr>
            <w:tcW w:w="9680" w:type="dxa"/>
            <w:vAlign w:val="bottom"/>
          </w:tcPr>
          <w:p>
            <w:pPr>
              <w:jc w:val="center"/>
              <w:ind w:left="1570"/>
              <w:spacing w:after="0"/>
              <w:rPr>
                <w:sz w:val="20"/>
                <w:szCs w:val="20"/>
                <w:color w:val="auto"/>
              </w:rPr>
            </w:pPr>
            <w:r>
              <w:rPr>
                <w:rFonts w:ascii="Arial" w:cs="Arial" w:eastAsia="Arial" w:hAnsi="Arial"/>
                <w:sz w:val="18"/>
                <w:szCs w:val="18"/>
                <w:color w:val="auto"/>
                <w:w w:val="95"/>
              </w:rPr>
              <w:t>DEFAULTS AND REMEDIES</w:t>
            </w:r>
          </w:p>
        </w:tc>
        <w:tc>
          <w:tcPr>
            <w:tcW w:w="1640" w:type="dxa"/>
            <w:vAlign w:val="bottom"/>
          </w:tcPr>
          <w:p>
            <w:pPr>
              <w:spacing w:after="0"/>
              <w:rPr>
                <w:sz w:val="24"/>
                <w:szCs w:val="24"/>
                <w:color w:val="auto"/>
              </w:rPr>
            </w:pPr>
          </w:p>
        </w:tc>
      </w:tr>
      <w:tr>
        <w:trPr>
          <w:trHeight w:val="310"/>
        </w:trPr>
        <w:tc>
          <w:tcPr>
            <w:tcW w:w="9680" w:type="dxa"/>
            <w:vAlign w:val="bottom"/>
          </w:tcPr>
          <w:p>
            <w:pPr>
              <w:spacing w:after="0"/>
              <w:rPr>
                <w:sz w:val="20"/>
                <w:szCs w:val="20"/>
                <w:color w:val="auto"/>
              </w:rPr>
            </w:pPr>
            <w:r>
              <w:rPr>
                <w:rFonts w:ascii="Arial" w:cs="Arial" w:eastAsia="Arial" w:hAnsi="Arial"/>
                <w:sz w:val="18"/>
                <w:szCs w:val="18"/>
                <w:color w:val="auto"/>
              </w:rPr>
              <w:t>SECTION 6.01. Events of Default</w:t>
            </w:r>
          </w:p>
        </w:tc>
        <w:tc>
          <w:tcPr>
            <w:tcW w:w="16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6.02. Acceleration</w:t>
            </w:r>
          </w:p>
        </w:tc>
        <w:tc>
          <w:tcPr>
            <w:tcW w:w="16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6.03. Other Remedies</w:t>
            </w:r>
          </w:p>
        </w:tc>
        <w:tc>
          <w:tcPr>
            <w:tcW w:w="16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6.04. Waiver of Past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6.05. Control by Majority</w:t>
            </w:r>
          </w:p>
        </w:tc>
        <w:tc>
          <w:tcPr>
            <w:tcW w:w="16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6.06. Limitation on Suits</w:t>
            </w:r>
          </w:p>
        </w:tc>
        <w:tc>
          <w:tcPr>
            <w:tcW w:w="16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6.07. Rights of Holders of Notes to Receive Payment</w:t>
            </w:r>
          </w:p>
        </w:tc>
        <w:tc>
          <w:tcPr>
            <w:tcW w:w="16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6.08. Collection Suit by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6.09. Restoration of Rights and Remedies</w:t>
            </w: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6.10. Rights and Remedies Cumulative</w:t>
            </w: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6.11. Delay or Omission Not Waiver</w:t>
            </w: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6.12. Trustee May File Proofs of Claim</w:t>
            </w: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6.13. Priorities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SECTION 6.14. Undertaking for Costs</w:t>
            </w:r>
          </w:p>
        </w:tc>
        <w:tc>
          <w:tcPr>
            <w:tcW w:w="1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9680" w:type="dxa"/>
            <w:vAlign w:val="bottom"/>
          </w:tcPr>
          <w:p>
            <w:pPr>
              <w:jc w:val="center"/>
              <w:ind w:left="1550"/>
              <w:spacing w:after="0"/>
              <w:rPr>
                <w:sz w:val="20"/>
                <w:szCs w:val="20"/>
                <w:color w:val="auto"/>
              </w:rPr>
            </w:pPr>
            <w:r>
              <w:rPr>
                <w:rFonts w:ascii="Arial" w:cs="Arial" w:eastAsia="Arial" w:hAnsi="Arial"/>
                <w:sz w:val="18"/>
                <w:szCs w:val="18"/>
                <w:color w:val="auto"/>
              </w:rPr>
              <w:t>ARTICLE VII</w:t>
            </w:r>
          </w:p>
        </w:tc>
        <w:tc>
          <w:tcPr>
            <w:tcW w:w="1640" w:type="dxa"/>
            <w:vAlign w:val="bottom"/>
          </w:tcPr>
          <w:p>
            <w:pPr>
              <w:spacing w:after="0"/>
              <w:rPr>
                <w:sz w:val="24"/>
                <w:szCs w:val="24"/>
                <w:color w:val="auto"/>
              </w:rPr>
            </w:pPr>
          </w:p>
        </w:tc>
      </w:tr>
      <w:tr>
        <w:trPr>
          <w:trHeight w:val="324"/>
        </w:trPr>
        <w:tc>
          <w:tcPr>
            <w:tcW w:w="9680" w:type="dxa"/>
            <w:vAlign w:val="bottom"/>
          </w:tcPr>
          <w:p>
            <w:pPr>
              <w:jc w:val="center"/>
              <w:ind w:left="1570"/>
              <w:spacing w:after="0"/>
              <w:rPr>
                <w:sz w:val="20"/>
                <w:szCs w:val="20"/>
                <w:color w:val="auto"/>
              </w:rPr>
            </w:pPr>
            <w:r>
              <w:rPr>
                <w:rFonts w:ascii="Arial" w:cs="Arial" w:eastAsia="Arial" w:hAnsi="Arial"/>
                <w:sz w:val="18"/>
                <w:szCs w:val="18"/>
                <w:color w:val="auto"/>
                <w:w w:val="92"/>
              </w:rPr>
              <w:t>TRUSTEE</w:t>
            </w:r>
          </w:p>
        </w:tc>
        <w:tc>
          <w:tcPr>
            <w:tcW w:w="1640" w:type="dxa"/>
            <w:vAlign w:val="bottom"/>
          </w:tcPr>
          <w:p>
            <w:pPr>
              <w:spacing w:after="0"/>
              <w:rPr>
                <w:sz w:val="24"/>
                <w:szCs w:val="24"/>
                <w:color w:val="auto"/>
              </w:rPr>
            </w:pPr>
          </w:p>
        </w:tc>
      </w:tr>
      <w:tr>
        <w:trPr>
          <w:trHeight w:val="310"/>
        </w:trPr>
        <w:tc>
          <w:tcPr>
            <w:tcW w:w="9680" w:type="dxa"/>
            <w:vAlign w:val="bottom"/>
          </w:tcPr>
          <w:p>
            <w:pPr>
              <w:spacing w:after="0"/>
              <w:rPr>
                <w:sz w:val="20"/>
                <w:szCs w:val="20"/>
                <w:color w:val="auto"/>
              </w:rPr>
            </w:pPr>
            <w:r>
              <w:rPr>
                <w:rFonts w:ascii="Arial" w:cs="Arial" w:eastAsia="Arial" w:hAnsi="Arial"/>
                <w:sz w:val="18"/>
                <w:szCs w:val="18"/>
                <w:color w:val="auto"/>
              </w:rPr>
              <w:t>SECTION 7.01. Duties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7.02. Rights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7.03. Individual Rights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SECTION 7.04. Trustee’s Disclaimer</w:t>
            </w:r>
          </w:p>
        </w:tc>
        <w:tc>
          <w:tcPr>
            <w:tcW w:w="1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SECTION 7.05. Notice of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7.06. Compensation and Indemnity</w:t>
            </w: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7.07. Replacement of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7.08. Successor Trustee by Merger, etc.</w:t>
            </w:r>
          </w:p>
        </w:tc>
        <w:tc>
          <w:tcPr>
            <w:tcW w:w="1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7.09. Eligibility; Disqualification</w:t>
            </w:r>
          </w:p>
        </w:tc>
        <w:tc>
          <w:tcPr>
            <w:tcW w:w="1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SECTION 7.10. Incumbency Certificate; Specimen Signatures</w:t>
            </w:r>
          </w:p>
        </w:tc>
        <w:tc>
          <w:tcPr>
            <w:tcW w:w="1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9700" w:type="dxa"/>
            <w:vAlign w:val="bottom"/>
          </w:tcPr>
          <w:p>
            <w:pPr>
              <w:jc w:val="center"/>
              <w:ind w:left="1550"/>
              <w:spacing w:after="0"/>
              <w:rPr>
                <w:sz w:val="20"/>
                <w:szCs w:val="20"/>
                <w:color w:val="auto"/>
              </w:rPr>
            </w:pPr>
            <w:r>
              <w:rPr>
                <w:rFonts w:ascii="Arial" w:cs="Arial" w:eastAsia="Arial" w:hAnsi="Arial"/>
                <w:sz w:val="18"/>
                <w:szCs w:val="18"/>
                <w:color w:val="auto"/>
              </w:rPr>
              <w:t>ARTICLE VIII</w:t>
            </w:r>
          </w:p>
        </w:tc>
        <w:tc>
          <w:tcPr>
            <w:tcW w:w="1620" w:type="dxa"/>
            <w:vAlign w:val="bottom"/>
          </w:tcPr>
          <w:p>
            <w:pPr>
              <w:spacing w:after="0"/>
              <w:rPr>
                <w:sz w:val="24"/>
                <w:szCs w:val="24"/>
                <w:color w:val="auto"/>
              </w:rPr>
            </w:pPr>
          </w:p>
        </w:tc>
      </w:tr>
      <w:tr>
        <w:trPr>
          <w:trHeight w:val="324"/>
        </w:trPr>
        <w:tc>
          <w:tcPr>
            <w:tcW w:w="9700" w:type="dxa"/>
            <w:vAlign w:val="bottom"/>
          </w:tcPr>
          <w:p>
            <w:pPr>
              <w:jc w:val="center"/>
              <w:ind w:left="1550"/>
              <w:spacing w:after="0"/>
              <w:rPr>
                <w:sz w:val="20"/>
                <w:szCs w:val="20"/>
                <w:color w:val="auto"/>
              </w:rPr>
            </w:pPr>
            <w:r>
              <w:rPr>
                <w:rFonts w:ascii="Arial" w:cs="Arial" w:eastAsia="Arial" w:hAnsi="Arial"/>
                <w:sz w:val="18"/>
                <w:szCs w:val="18"/>
                <w:color w:val="auto"/>
                <w:w w:val="97"/>
              </w:rPr>
              <w:t>LEGAL DEFEASANCE AND COVENANT DEFEASANCE</w:t>
            </w:r>
          </w:p>
        </w:tc>
        <w:tc>
          <w:tcPr>
            <w:tcW w:w="1620" w:type="dxa"/>
            <w:vAlign w:val="bottom"/>
          </w:tcPr>
          <w:p>
            <w:pPr>
              <w:spacing w:after="0"/>
              <w:rPr>
                <w:sz w:val="24"/>
                <w:szCs w:val="24"/>
                <w:color w:val="auto"/>
              </w:rPr>
            </w:pPr>
          </w:p>
        </w:tc>
      </w:tr>
      <w:tr>
        <w:trPr>
          <w:trHeight w:val="310"/>
        </w:trPr>
        <w:tc>
          <w:tcPr>
            <w:tcW w:w="9700" w:type="dxa"/>
            <w:vAlign w:val="bottom"/>
          </w:tcPr>
          <w:p>
            <w:pPr>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6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8.02. Legal Defeasance and Discharge</w:t>
            </w:r>
          </w:p>
        </w:tc>
        <w:tc>
          <w:tcPr>
            <w:tcW w:w="16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8.03. Covenant Defeasance</w:t>
            </w:r>
          </w:p>
        </w:tc>
        <w:tc>
          <w:tcPr>
            <w:tcW w:w="16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8.04. Conditions to Legal or Covenant Defeasance</w:t>
            </w:r>
          </w:p>
        </w:tc>
        <w:tc>
          <w:tcPr>
            <w:tcW w:w="16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8.05. Deposited Money and Government Securities to Be Held in Trust; Other Miscellaneous Provisions</w:t>
            </w:r>
          </w:p>
        </w:tc>
        <w:tc>
          <w:tcPr>
            <w:tcW w:w="16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8.06. Repayment to Issuer</w:t>
            </w:r>
          </w:p>
        </w:tc>
        <w:tc>
          <w:tcPr>
            <w:tcW w:w="1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SECTION 8.07. Reinstatement</w:t>
            </w:r>
          </w:p>
        </w:tc>
        <w:tc>
          <w:tcPr>
            <w:tcW w:w="1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9700" w:type="dxa"/>
            <w:vAlign w:val="bottom"/>
          </w:tcPr>
          <w:p>
            <w:pPr>
              <w:jc w:val="center"/>
              <w:ind w:left="1550"/>
              <w:spacing w:after="0"/>
              <w:rPr>
                <w:sz w:val="20"/>
                <w:szCs w:val="20"/>
                <w:color w:val="auto"/>
              </w:rPr>
            </w:pPr>
            <w:r>
              <w:rPr>
                <w:rFonts w:ascii="Arial" w:cs="Arial" w:eastAsia="Arial" w:hAnsi="Arial"/>
                <w:sz w:val="18"/>
                <w:szCs w:val="18"/>
                <w:color w:val="auto"/>
                <w:w w:val="99"/>
              </w:rPr>
              <w:t>ARTICLE IX</w:t>
            </w:r>
          </w:p>
        </w:tc>
        <w:tc>
          <w:tcPr>
            <w:tcW w:w="1620" w:type="dxa"/>
            <w:vAlign w:val="bottom"/>
          </w:tcPr>
          <w:p>
            <w:pPr>
              <w:spacing w:after="0"/>
              <w:rPr>
                <w:sz w:val="24"/>
                <w:szCs w:val="24"/>
                <w:color w:val="auto"/>
              </w:rPr>
            </w:pPr>
          </w:p>
        </w:tc>
      </w:tr>
      <w:tr>
        <w:trPr>
          <w:trHeight w:val="324"/>
        </w:trPr>
        <w:tc>
          <w:tcPr>
            <w:tcW w:w="9700" w:type="dxa"/>
            <w:vAlign w:val="bottom"/>
          </w:tcPr>
          <w:p>
            <w:pPr>
              <w:jc w:val="center"/>
              <w:ind w:left="1550"/>
              <w:spacing w:after="0"/>
              <w:rPr>
                <w:sz w:val="20"/>
                <w:szCs w:val="20"/>
                <w:color w:val="auto"/>
              </w:rPr>
            </w:pPr>
            <w:r>
              <w:rPr>
                <w:rFonts w:ascii="Arial" w:cs="Arial" w:eastAsia="Arial" w:hAnsi="Arial"/>
                <w:sz w:val="18"/>
                <w:szCs w:val="18"/>
                <w:color w:val="auto"/>
                <w:w w:val="97"/>
              </w:rPr>
              <w:t>AMENDMENT, SUPPLEMENT AND WAIVER</w:t>
            </w:r>
          </w:p>
        </w:tc>
        <w:tc>
          <w:tcPr>
            <w:tcW w:w="1620" w:type="dxa"/>
            <w:vAlign w:val="bottom"/>
          </w:tcPr>
          <w:p>
            <w:pPr>
              <w:spacing w:after="0"/>
              <w:rPr>
                <w:sz w:val="24"/>
                <w:szCs w:val="24"/>
                <w:color w:val="auto"/>
              </w:rPr>
            </w:pPr>
          </w:p>
        </w:tc>
      </w:tr>
      <w:tr>
        <w:trPr>
          <w:trHeight w:val="310"/>
        </w:trPr>
        <w:tc>
          <w:tcPr>
            <w:tcW w:w="9700" w:type="dxa"/>
            <w:vAlign w:val="bottom"/>
          </w:tcPr>
          <w:p>
            <w:pPr>
              <w:spacing w:after="0"/>
              <w:rPr>
                <w:sz w:val="20"/>
                <w:szCs w:val="20"/>
                <w:color w:val="auto"/>
              </w:rPr>
            </w:pPr>
            <w:r>
              <w:rPr>
                <w:rFonts w:ascii="Arial" w:cs="Arial" w:eastAsia="Arial" w:hAnsi="Arial"/>
                <w:sz w:val="18"/>
                <w:szCs w:val="18"/>
                <w:color w:val="auto"/>
              </w:rPr>
              <w:t>SECTION 9.01. Without Consent of Holders of Notes</w:t>
            </w:r>
          </w:p>
        </w:tc>
        <w:tc>
          <w:tcPr>
            <w:tcW w:w="1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9.02. With Consent of Holders of Notes</w:t>
            </w:r>
          </w:p>
        </w:tc>
        <w:tc>
          <w:tcPr>
            <w:tcW w:w="16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9.03. Revocation and Effect of Consents</w:t>
            </w:r>
          </w:p>
        </w:tc>
        <w:tc>
          <w:tcPr>
            <w:tcW w:w="1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9.04. Notation on or Exchange of Notes</w:t>
            </w:r>
          </w:p>
        </w:tc>
        <w:tc>
          <w:tcPr>
            <w:tcW w:w="1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9.05. Trustee to Sign Amendments, etc.</w:t>
            </w:r>
          </w:p>
        </w:tc>
        <w:tc>
          <w:tcPr>
            <w:tcW w:w="1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9.06. Payment for Consent</w:t>
            </w:r>
          </w:p>
        </w:tc>
        <w:tc>
          <w:tcPr>
            <w:tcW w:w="16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SECTION 9.07. Additional Voting Terms; Calculation of Principal Amount</w:t>
            </w:r>
          </w:p>
        </w:tc>
        <w:tc>
          <w:tcPr>
            <w:tcW w:w="16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9700" w:type="dxa"/>
            <w:vAlign w:val="bottom"/>
          </w:tcPr>
          <w:p>
            <w:pPr>
              <w:jc w:val="center"/>
              <w:ind w:left="1530"/>
              <w:spacing w:after="0"/>
              <w:rPr>
                <w:sz w:val="20"/>
                <w:szCs w:val="20"/>
                <w:color w:val="auto"/>
              </w:rPr>
            </w:pPr>
            <w:r>
              <w:rPr>
                <w:rFonts w:ascii="Arial" w:cs="Arial" w:eastAsia="Arial" w:hAnsi="Arial"/>
                <w:sz w:val="18"/>
                <w:szCs w:val="18"/>
                <w:color w:val="auto"/>
                <w:w w:val="98"/>
              </w:rPr>
              <w:t>ARTICLE X</w:t>
            </w:r>
          </w:p>
        </w:tc>
        <w:tc>
          <w:tcPr>
            <w:tcW w:w="1620" w:type="dxa"/>
            <w:vAlign w:val="bottom"/>
          </w:tcPr>
          <w:p>
            <w:pPr>
              <w:spacing w:after="0"/>
              <w:rPr>
                <w:sz w:val="24"/>
                <w:szCs w:val="24"/>
                <w:color w:val="auto"/>
              </w:rPr>
            </w:pPr>
          </w:p>
        </w:tc>
      </w:tr>
      <w:tr>
        <w:trPr>
          <w:trHeight w:val="324"/>
        </w:trPr>
        <w:tc>
          <w:tcPr>
            <w:tcW w:w="9700" w:type="dxa"/>
            <w:vAlign w:val="bottom"/>
          </w:tcPr>
          <w:p>
            <w:pPr>
              <w:jc w:val="center"/>
              <w:ind w:left="1530"/>
              <w:spacing w:after="0"/>
              <w:rPr>
                <w:sz w:val="20"/>
                <w:szCs w:val="20"/>
                <w:color w:val="auto"/>
              </w:rPr>
            </w:pPr>
            <w:r>
              <w:rPr>
                <w:rFonts w:ascii="Arial" w:cs="Arial" w:eastAsia="Arial" w:hAnsi="Arial"/>
                <w:sz w:val="18"/>
                <w:szCs w:val="18"/>
                <w:color w:val="auto"/>
                <w:w w:val="96"/>
              </w:rPr>
              <w:t>GUARANTEES</w:t>
            </w:r>
          </w:p>
        </w:tc>
        <w:tc>
          <w:tcPr>
            <w:tcW w:w="1620" w:type="dxa"/>
            <w:vAlign w:val="bottom"/>
          </w:tcPr>
          <w:p>
            <w:pPr>
              <w:spacing w:after="0"/>
              <w:rPr>
                <w:sz w:val="24"/>
                <w:szCs w:val="24"/>
                <w:color w:val="auto"/>
              </w:rPr>
            </w:pPr>
          </w:p>
        </w:tc>
      </w:tr>
      <w:tr>
        <w:trPr>
          <w:trHeight w:val="310"/>
        </w:trPr>
        <w:tc>
          <w:tcPr>
            <w:tcW w:w="9700" w:type="dxa"/>
            <w:vAlign w:val="bottom"/>
          </w:tcPr>
          <w:p>
            <w:pPr>
              <w:spacing w:after="0"/>
              <w:rPr>
                <w:sz w:val="20"/>
                <w:szCs w:val="20"/>
                <w:color w:val="auto"/>
              </w:rPr>
            </w:pPr>
            <w:r>
              <w:rPr>
                <w:rFonts w:ascii="Arial" w:cs="Arial" w:eastAsia="Arial" w:hAnsi="Arial"/>
                <w:sz w:val="18"/>
                <w:szCs w:val="18"/>
                <w:color w:val="auto"/>
              </w:rPr>
              <w:t>SECTION 10.01. Guarantee</w:t>
            </w:r>
          </w:p>
        </w:tc>
        <w:tc>
          <w:tcPr>
            <w:tcW w:w="16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10.02. Limitation on Guarantor Liability</w:t>
            </w:r>
          </w:p>
        </w:tc>
        <w:tc>
          <w:tcPr>
            <w:tcW w:w="16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10.03. Execution and Delivery</w:t>
            </w:r>
          </w:p>
        </w:tc>
        <w:tc>
          <w:tcPr>
            <w:tcW w:w="16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10.04. Subrogation</w:t>
            </w:r>
          </w:p>
        </w:tc>
        <w:tc>
          <w:tcPr>
            <w:tcW w:w="16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10.05. Benefits Acknowledged</w:t>
            </w:r>
          </w:p>
        </w:tc>
        <w:tc>
          <w:tcPr>
            <w:tcW w:w="16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10.06. Release of Guarantees</w:t>
            </w:r>
          </w:p>
        </w:tc>
        <w:tc>
          <w:tcPr>
            <w:tcW w:w="16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SECTION 10.07. Agreed Security Principles</w:t>
            </w:r>
          </w:p>
        </w:tc>
        <w:tc>
          <w:tcPr>
            <w:tcW w:w="16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9700" w:type="dxa"/>
            <w:vAlign w:val="bottom"/>
          </w:tcPr>
          <w:p>
            <w:pPr>
              <w:jc w:val="center"/>
              <w:ind w:left="1550"/>
              <w:spacing w:after="0"/>
              <w:rPr>
                <w:sz w:val="20"/>
                <w:szCs w:val="20"/>
                <w:color w:val="auto"/>
              </w:rPr>
            </w:pPr>
            <w:r>
              <w:rPr>
                <w:rFonts w:ascii="Arial" w:cs="Arial" w:eastAsia="Arial" w:hAnsi="Arial"/>
                <w:sz w:val="18"/>
                <w:szCs w:val="18"/>
                <w:color w:val="auto"/>
                <w:w w:val="99"/>
              </w:rPr>
              <w:t>ARTICLE XI</w:t>
            </w:r>
          </w:p>
        </w:tc>
        <w:tc>
          <w:tcPr>
            <w:tcW w:w="1620" w:type="dxa"/>
            <w:vAlign w:val="bottom"/>
          </w:tcPr>
          <w:p>
            <w:pPr>
              <w:spacing w:after="0"/>
              <w:rPr>
                <w:sz w:val="24"/>
                <w:szCs w:val="24"/>
                <w:color w:val="auto"/>
              </w:rPr>
            </w:pPr>
          </w:p>
        </w:tc>
      </w:tr>
      <w:tr>
        <w:trPr>
          <w:trHeight w:val="324"/>
        </w:trPr>
        <w:tc>
          <w:tcPr>
            <w:tcW w:w="9700" w:type="dxa"/>
            <w:vAlign w:val="bottom"/>
          </w:tcPr>
          <w:p>
            <w:pPr>
              <w:jc w:val="center"/>
              <w:ind w:left="1530"/>
              <w:spacing w:after="0"/>
              <w:rPr>
                <w:sz w:val="20"/>
                <w:szCs w:val="20"/>
                <w:color w:val="auto"/>
              </w:rPr>
            </w:pPr>
            <w:r>
              <w:rPr>
                <w:rFonts w:ascii="Arial" w:cs="Arial" w:eastAsia="Arial" w:hAnsi="Arial"/>
                <w:sz w:val="18"/>
                <w:szCs w:val="18"/>
                <w:color w:val="auto"/>
                <w:w w:val="98"/>
              </w:rPr>
              <w:t>COLLATERAL AND SECURITY</w:t>
            </w:r>
          </w:p>
        </w:tc>
        <w:tc>
          <w:tcPr>
            <w:tcW w:w="1620" w:type="dxa"/>
            <w:vAlign w:val="bottom"/>
          </w:tcPr>
          <w:p>
            <w:pPr>
              <w:spacing w:after="0"/>
              <w:rPr>
                <w:sz w:val="24"/>
                <w:szCs w:val="24"/>
                <w:color w:val="auto"/>
              </w:rPr>
            </w:pPr>
          </w:p>
        </w:tc>
      </w:tr>
      <w:tr>
        <w:trPr>
          <w:trHeight w:val="310"/>
        </w:trPr>
        <w:tc>
          <w:tcPr>
            <w:tcW w:w="9700" w:type="dxa"/>
            <w:vAlign w:val="bottom"/>
          </w:tcPr>
          <w:p>
            <w:pPr>
              <w:spacing w:after="0"/>
              <w:rPr>
                <w:sz w:val="20"/>
                <w:szCs w:val="20"/>
                <w:color w:val="auto"/>
              </w:rPr>
            </w:pPr>
            <w:r>
              <w:rPr>
                <w:rFonts w:ascii="Arial" w:cs="Arial" w:eastAsia="Arial" w:hAnsi="Arial"/>
                <w:sz w:val="18"/>
                <w:szCs w:val="18"/>
                <w:color w:val="auto"/>
              </w:rPr>
              <w:t>SECTION 11.01. The Collateral Agent</w:t>
            </w:r>
          </w:p>
        </w:tc>
        <w:tc>
          <w:tcPr>
            <w:tcW w:w="16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11.02. The Collateral</w:t>
            </w: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11.03. Impairment of Security Interest</w:t>
            </w: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SECTION 11.04. After-Acquired Collateral</w:t>
            </w: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11.05. Real Estate Mortgages and Filing; Pledge of Foreign Collateral</w:t>
            </w: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11.06. Release of Collateral</w:t>
            </w:r>
          </w:p>
        </w:tc>
        <w:tc>
          <w:tcPr>
            <w:tcW w:w="5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w w:val="93"/>
              </w:rPr>
              <w:t>SECTION 11.07. Authorization of Actions to be Taken by the Trustee or the Collateral Agent under the Collateral Documents relating to the Notes</w:t>
            </w:r>
          </w:p>
        </w:tc>
        <w:tc>
          <w:tcPr>
            <w:tcW w:w="5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11.08. Agreed Security Principles</w:t>
            </w: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160" w:type="dxa"/>
            <w:vAlign w:val="bottom"/>
          </w:tcPr>
          <w:p>
            <w:pPr>
              <w:spacing w:after="0"/>
              <w:rPr>
                <w:sz w:val="24"/>
                <w:szCs w:val="24"/>
                <w:color w:val="auto"/>
              </w:rPr>
            </w:pPr>
          </w:p>
        </w:tc>
        <w:tc>
          <w:tcPr>
            <w:tcW w:w="9660" w:type="dxa"/>
            <w:vAlign w:val="bottom"/>
          </w:tcPr>
          <w:p>
            <w:pPr>
              <w:jc w:val="center"/>
              <w:ind w:right="570"/>
              <w:spacing w:after="0"/>
              <w:rPr>
                <w:sz w:val="20"/>
                <w:szCs w:val="20"/>
                <w:color w:val="auto"/>
              </w:rPr>
            </w:pPr>
            <w:r>
              <w:rPr>
                <w:rFonts w:ascii="Arial" w:cs="Arial" w:eastAsia="Arial" w:hAnsi="Arial"/>
                <w:sz w:val="18"/>
                <w:szCs w:val="18"/>
                <w:color w:val="auto"/>
              </w:rPr>
              <w:t>ARTICLE XII</w:t>
            </w:r>
          </w:p>
        </w:tc>
        <w:tc>
          <w:tcPr>
            <w:tcW w:w="500" w:type="dxa"/>
            <w:vAlign w:val="bottom"/>
          </w:tcPr>
          <w:p>
            <w:pPr>
              <w:spacing w:after="0"/>
              <w:rPr>
                <w:sz w:val="24"/>
                <w:szCs w:val="24"/>
                <w:color w:val="auto"/>
              </w:rPr>
            </w:pPr>
          </w:p>
        </w:tc>
      </w:tr>
      <w:tr>
        <w:trPr>
          <w:trHeight w:val="324"/>
        </w:trPr>
        <w:tc>
          <w:tcPr>
            <w:tcW w:w="1160" w:type="dxa"/>
            <w:vAlign w:val="bottom"/>
          </w:tcPr>
          <w:p>
            <w:pPr>
              <w:spacing w:after="0"/>
              <w:rPr>
                <w:sz w:val="24"/>
                <w:szCs w:val="24"/>
                <w:color w:val="auto"/>
              </w:rPr>
            </w:pPr>
          </w:p>
        </w:tc>
        <w:tc>
          <w:tcPr>
            <w:tcW w:w="9660" w:type="dxa"/>
            <w:vAlign w:val="bottom"/>
          </w:tcPr>
          <w:p>
            <w:pPr>
              <w:jc w:val="center"/>
              <w:ind w:right="570"/>
              <w:spacing w:after="0"/>
              <w:rPr>
                <w:sz w:val="20"/>
                <w:szCs w:val="20"/>
                <w:color w:val="auto"/>
              </w:rPr>
            </w:pPr>
            <w:r>
              <w:rPr>
                <w:rFonts w:ascii="Arial" w:cs="Arial" w:eastAsia="Arial" w:hAnsi="Arial"/>
                <w:sz w:val="18"/>
                <w:szCs w:val="18"/>
                <w:color w:val="auto"/>
                <w:w w:val="96"/>
              </w:rPr>
              <w:t>SATISFACTION AND DISCHARGE</w:t>
            </w:r>
          </w:p>
        </w:tc>
        <w:tc>
          <w:tcPr>
            <w:tcW w:w="500" w:type="dxa"/>
            <w:vAlign w:val="bottom"/>
          </w:tcPr>
          <w:p>
            <w:pPr>
              <w:spacing w:after="0"/>
              <w:rPr>
                <w:sz w:val="24"/>
                <w:szCs w:val="24"/>
                <w:color w:val="auto"/>
              </w:rPr>
            </w:pPr>
          </w:p>
        </w:tc>
      </w:tr>
      <w:tr>
        <w:trPr>
          <w:trHeight w:val="31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12.01. Satisfaction and Discharge</w:t>
            </w: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12.02. Application of Trust Money</w:t>
            </w: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1160" w:type="dxa"/>
            <w:vAlign w:val="bottom"/>
          </w:tcPr>
          <w:p>
            <w:pPr>
              <w:spacing w:after="0"/>
              <w:rPr>
                <w:sz w:val="24"/>
                <w:szCs w:val="24"/>
                <w:color w:val="auto"/>
              </w:rPr>
            </w:pPr>
          </w:p>
        </w:tc>
        <w:tc>
          <w:tcPr>
            <w:tcW w:w="9660" w:type="dxa"/>
            <w:vAlign w:val="bottom"/>
          </w:tcPr>
          <w:p>
            <w:pPr>
              <w:jc w:val="center"/>
              <w:ind w:right="550"/>
              <w:spacing w:after="0"/>
              <w:rPr>
                <w:sz w:val="20"/>
                <w:szCs w:val="20"/>
                <w:color w:val="auto"/>
              </w:rPr>
            </w:pPr>
            <w:r>
              <w:rPr>
                <w:rFonts w:ascii="Arial" w:cs="Arial" w:eastAsia="Arial" w:hAnsi="Arial"/>
                <w:sz w:val="18"/>
                <w:szCs w:val="18"/>
                <w:color w:val="auto"/>
              </w:rPr>
              <w:t>ARTICLE XIII</w:t>
            </w:r>
          </w:p>
        </w:tc>
        <w:tc>
          <w:tcPr>
            <w:tcW w:w="500" w:type="dxa"/>
            <w:vAlign w:val="bottom"/>
          </w:tcPr>
          <w:p>
            <w:pPr>
              <w:spacing w:after="0"/>
              <w:rPr>
                <w:sz w:val="24"/>
                <w:szCs w:val="24"/>
                <w:color w:val="auto"/>
              </w:rPr>
            </w:pPr>
          </w:p>
        </w:tc>
      </w:tr>
      <w:tr>
        <w:trPr>
          <w:trHeight w:val="324"/>
        </w:trPr>
        <w:tc>
          <w:tcPr>
            <w:tcW w:w="1160" w:type="dxa"/>
            <w:vAlign w:val="bottom"/>
          </w:tcPr>
          <w:p>
            <w:pPr>
              <w:spacing w:after="0"/>
              <w:rPr>
                <w:sz w:val="24"/>
                <w:szCs w:val="24"/>
                <w:color w:val="auto"/>
              </w:rPr>
            </w:pPr>
          </w:p>
        </w:tc>
        <w:tc>
          <w:tcPr>
            <w:tcW w:w="9660" w:type="dxa"/>
            <w:vAlign w:val="bottom"/>
          </w:tcPr>
          <w:p>
            <w:pPr>
              <w:jc w:val="center"/>
              <w:ind w:right="550"/>
              <w:spacing w:after="0"/>
              <w:rPr>
                <w:sz w:val="20"/>
                <w:szCs w:val="20"/>
                <w:color w:val="auto"/>
              </w:rPr>
            </w:pPr>
            <w:r>
              <w:rPr>
                <w:rFonts w:ascii="Arial" w:cs="Arial" w:eastAsia="Arial" w:hAnsi="Arial"/>
                <w:sz w:val="18"/>
                <w:szCs w:val="18"/>
                <w:color w:val="auto"/>
                <w:w w:val="97"/>
              </w:rPr>
              <w:t>MISCELLANEOUS</w:t>
            </w:r>
          </w:p>
        </w:tc>
        <w:tc>
          <w:tcPr>
            <w:tcW w:w="500" w:type="dxa"/>
            <w:vAlign w:val="bottom"/>
          </w:tcPr>
          <w:p>
            <w:pPr>
              <w:spacing w:after="0"/>
              <w:rPr>
                <w:sz w:val="24"/>
                <w:szCs w:val="24"/>
                <w:color w:val="auto"/>
              </w:rPr>
            </w:pPr>
          </w:p>
        </w:tc>
      </w:tr>
      <w:tr>
        <w:trPr>
          <w:trHeight w:val="31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13.01. Notices</w:t>
            </w: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13.02. Communication by Holders of Notes with Other Holders of Notes</w:t>
            </w: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13.03. Certificate and Opinion as to Conditions Precedent</w:t>
            </w: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13.04. Statements Required in Certificate or Opinion</w:t>
            </w: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13.05. Rules by Trustee and Agents</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13.06. No Personal Liability of Directors, Officers, Employees and Stockholders</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13.07. Governing Law</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13.08. Waiver of Jury Trial</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13.09. Force Majeure</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13.10. No Adverse Interpretation of Other Agreements</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13.11. Successors</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13.12. Severability</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13.13. Counterpart Originals</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13.14. Table of Contents, Headings, etc.</w:t>
            </w:r>
          </w:p>
        </w:tc>
        <w:tc>
          <w:tcPr>
            <w:tcW w:w="5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13.15. Currency of Account; Conversion of Currency; Foreign Exchange Restrictions</w:t>
            </w:r>
          </w:p>
        </w:tc>
        <w:tc>
          <w:tcPr>
            <w:tcW w:w="5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13.16. Consent to Jurisdiction and Service</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13.17. Electronic Transmission</w:t>
            </w: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13.18. Patriot Act</w:t>
            </w: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13.19. Further Assurances</w:t>
            </w: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EXHIBITS</w:t>
            </w:r>
          </w:p>
        </w:tc>
        <w:tc>
          <w:tcPr>
            <w:tcW w:w="96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Exhibit A</w:t>
            </w:r>
          </w:p>
        </w:tc>
        <w:tc>
          <w:tcPr>
            <w:tcW w:w="9660" w:type="dxa"/>
            <w:vAlign w:val="bottom"/>
          </w:tcPr>
          <w:p>
            <w:pPr>
              <w:ind w:left="340"/>
              <w:spacing w:after="0"/>
              <w:rPr>
                <w:sz w:val="20"/>
                <w:szCs w:val="20"/>
                <w:color w:val="auto"/>
              </w:rPr>
            </w:pPr>
            <w:r>
              <w:rPr>
                <w:rFonts w:ascii="Arial" w:cs="Arial" w:eastAsia="Arial" w:hAnsi="Arial"/>
                <w:sz w:val="18"/>
                <w:szCs w:val="18"/>
                <w:color w:val="auto"/>
              </w:rPr>
              <w:t>Form of Note</w:t>
            </w:r>
          </w:p>
        </w:tc>
        <w:tc>
          <w:tcPr>
            <w:tcW w:w="50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w:t>
            </w:r>
          </w:p>
        </w:tc>
        <w:tc>
          <w:tcPr>
            <w:tcW w:w="9660" w:type="dxa"/>
            <w:vAlign w:val="bottom"/>
          </w:tcPr>
          <w:p>
            <w:pPr>
              <w:ind w:left="340"/>
              <w:spacing w:after="0"/>
              <w:rPr>
                <w:sz w:val="20"/>
                <w:szCs w:val="20"/>
                <w:color w:val="auto"/>
              </w:rPr>
            </w:pPr>
            <w:r>
              <w:rPr>
                <w:rFonts w:ascii="Arial" w:cs="Arial" w:eastAsia="Arial" w:hAnsi="Arial"/>
                <w:sz w:val="18"/>
                <w:szCs w:val="18"/>
                <w:color w:val="auto"/>
              </w:rPr>
              <w:t>Form of Certificate of Transfer</w:t>
            </w:r>
          </w:p>
        </w:tc>
        <w:tc>
          <w:tcPr>
            <w:tcW w:w="5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C</w:t>
            </w:r>
          </w:p>
        </w:tc>
        <w:tc>
          <w:tcPr>
            <w:tcW w:w="9660" w:type="dxa"/>
            <w:vAlign w:val="bottom"/>
          </w:tcPr>
          <w:p>
            <w:pPr>
              <w:ind w:left="340"/>
              <w:spacing w:after="0"/>
              <w:rPr>
                <w:sz w:val="20"/>
                <w:szCs w:val="20"/>
                <w:color w:val="auto"/>
              </w:rPr>
            </w:pPr>
            <w:r>
              <w:rPr>
                <w:rFonts w:ascii="Arial" w:cs="Arial" w:eastAsia="Arial" w:hAnsi="Arial"/>
                <w:sz w:val="18"/>
                <w:szCs w:val="18"/>
                <w:color w:val="auto"/>
              </w:rPr>
              <w:t>Form of Certificate of Exchange</w:t>
            </w:r>
          </w:p>
        </w:tc>
        <w:tc>
          <w:tcPr>
            <w:tcW w:w="5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D</w:t>
            </w:r>
          </w:p>
        </w:tc>
        <w:tc>
          <w:tcPr>
            <w:tcW w:w="9660" w:type="dxa"/>
            <w:vAlign w:val="bottom"/>
          </w:tcPr>
          <w:p>
            <w:pPr>
              <w:ind w:left="340"/>
              <w:spacing w:after="0"/>
              <w:rPr>
                <w:sz w:val="20"/>
                <w:szCs w:val="20"/>
                <w:color w:val="auto"/>
              </w:rPr>
            </w:pPr>
            <w:r>
              <w:rPr>
                <w:rFonts w:ascii="Arial" w:cs="Arial" w:eastAsia="Arial" w:hAnsi="Arial"/>
                <w:sz w:val="18"/>
                <w:szCs w:val="18"/>
                <w:color w:val="auto"/>
              </w:rPr>
              <w:t>Form of Supplemental Indenture to Be Delivered by Subsequent Guarantors</w:t>
            </w:r>
          </w:p>
        </w:tc>
        <w:tc>
          <w:tcPr>
            <w:tcW w:w="50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Exhibit E</w:t>
            </w:r>
          </w:p>
        </w:tc>
        <w:tc>
          <w:tcPr>
            <w:tcW w:w="9660" w:type="dxa"/>
            <w:vAlign w:val="bottom"/>
          </w:tcPr>
          <w:p>
            <w:pPr>
              <w:ind w:left="340"/>
              <w:spacing w:after="0"/>
              <w:rPr>
                <w:sz w:val="20"/>
                <w:szCs w:val="20"/>
                <w:color w:val="auto"/>
              </w:rPr>
            </w:pPr>
            <w:r>
              <w:rPr>
                <w:rFonts w:ascii="Arial" w:cs="Arial" w:eastAsia="Arial" w:hAnsi="Arial"/>
                <w:sz w:val="18"/>
                <w:szCs w:val="18"/>
                <w:color w:val="auto"/>
              </w:rPr>
              <w:t>Agreed Security Principles</w:t>
            </w:r>
          </w:p>
        </w:tc>
        <w:tc>
          <w:tcPr>
            <w:tcW w:w="50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38" w:name="page39"/>
    <w:bookmarkEnd w:id="38"/>
    <w:p>
      <w:pPr>
        <w:ind w:left="920" w:firstLine="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INDENTURE, dated as of December 7, 2015, among Freescale Semiconductor, Inc., a Delaware corporation, and the Guarantors (as defined herein) listed on the signature pages hereto and The Bank of New York Mellon Trust Company, N.A., a national banking association, as Trustee.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WHEREAS, the Issuer (as defined herein) has duly authorized the creation of an issue of $500,000,000 aggregate principal amount of the Issuer’s 5.000% senior secured notes due 2021 (the “Initial Notes”);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Issuer and each of the Guarantors has duly authorized the execution and delivery of this Indenture; and</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WHEREAS, this Indenture has been amended and restated in accordance with its terms following the successful solicitation of consents from the Holders of the Notes pursuant to a consent solicitation that was launched on March 23, 2015 and that expired on April 2, 2015. The Issuer is undertaking the consent solicitation pursuant to the Merger Agreement (as defined herein).</w:t>
      </w:r>
    </w:p>
    <w:p>
      <w:pPr>
        <w:spacing w:after="0" w:line="18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NOW, THEREFORE, the Issuer, the Guarantors and the Trustee agree as follows for the benefit of each other and for the equal and ratable benefit of the Holders of the Notes.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144A Global Note</w:t>
      </w:r>
      <w:r>
        <w:rPr>
          <w:rFonts w:ascii="Arial" w:cs="Arial" w:eastAsia="Arial" w:hAnsi="Arial"/>
          <w:sz w:val="18"/>
          <w:szCs w:val="18"/>
          <w:color w:val="auto"/>
        </w:rPr>
        <w:t xml:space="preserve">” means a Global Note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applicable series of Notes sold in reliance on Rule 144A.</w:t>
      </w:r>
    </w:p>
    <w:p>
      <w:pPr>
        <w:spacing w:after="0" w:line="18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300 Millimeter R&amp;D Expenses</w:t>
      </w:r>
      <w:r>
        <w:rPr>
          <w:rFonts w:ascii="Arial" w:cs="Arial" w:eastAsia="Arial" w:hAnsi="Arial"/>
          <w:sz w:val="16"/>
          <w:szCs w:val="16"/>
          <w:color w:val="auto"/>
        </w:rPr>
        <w:t>” means, with respect to any period, the amount of research and development expenses of Holdings III and its Restricted Subsidiaries for such period, on a consolidated basis, relating to any 300 millimeter or larger wafer fabrication alliance or arrangement of Holdings</w:t>
      </w:r>
    </w:p>
    <w:p>
      <w:pPr>
        <w:ind w:right="140" w:firstLine="8"/>
        <w:spacing w:after="0" w:line="271" w:lineRule="auto"/>
        <w:tabs>
          <w:tab w:leader="none" w:pos="225"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or any of its Restricted Subsidiaries other than the strategic alliance relating to the manufacturing of 300 millimeter wafers in Crolles, France in existence on the Transaction Date (any such alliance or arrangement, a “300 Millimeter Arrangement”);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amount of such research and development expenses with respect to any such 300 Millimeter Arrangement constituting 300 Millimeter R&amp;D Expenses for such period for purposes hereof shall not exceed the greater of (i) the amount of any negative EBITDA with respect to such 300 Millimeter Arrangement for such period and (ii) the amount of any Equalization Payments with respect to such 300 Millimeter Arrangement for such period.</w:t>
      </w:r>
    </w:p>
    <w:p>
      <w:pPr>
        <w:spacing w:after="0" w:line="17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300 Millimeter Asset Sale</w:t>
      </w:r>
      <w:r>
        <w:rPr>
          <w:rFonts w:ascii="Arial" w:cs="Arial" w:eastAsia="Arial" w:hAnsi="Arial"/>
          <w:sz w:val="18"/>
          <w:szCs w:val="18"/>
          <w:color w:val="auto"/>
        </w:rPr>
        <w:t xml:space="preserve">” means any sale of any assets of Holdings III or any Restricted Subsidiary relating to the Issuer’s alliance with respect to the 300 millimeter wafer fabrication in Crolles, France;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asset sale shall constitute a 300 Millimeter Asset Sale to the extent that, after giving effect to such asset sale, the aggregate amount of 300 Millimeter Asset Sale Proceeds with respect to all 300 Millimeter Asset Sales shall exceed $500 million.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9" w:name="page40"/>
    <w:bookmarkEnd w:id="39"/>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300 Millimeter Asset Sale Proceeds</w:t>
      </w:r>
      <w:r>
        <w:rPr>
          <w:rFonts w:ascii="Arial" w:cs="Arial" w:eastAsia="Arial" w:hAnsi="Arial"/>
          <w:sz w:val="17"/>
          <w:szCs w:val="17"/>
          <w:color w:val="auto"/>
        </w:rPr>
        <w:t>” means the aggregate cash proceeds received by Holdings III or any of its Restricted Subsidiaries in respect of any 300 Millimeter Asset Sale, including any cash received upon the sale or other disposition of any Designated Non-cash Consideration received in any 300 Millimeter Asset Sale, net of the direct costs relating to such 300 Millimeter Asset Sale and the sale or disposition of such Designated Non-cash Consideration, including legal, accounting and investment banking fees, and brokerage and sales commissions, any relocation expenses incurred as a result thereof, taxes paid or payable as a result thereof (after taking into account any available tax credits or deductions and any tax sharing arrangements), amounts required to be applied to the repayment of principal, premium, if any, and interest on Senior Indebtedness required to be paid as a result of such transaction and any deduction of appropriate amounts to be provided by Holdings III or any of its Restricted Subsidiaries as a reserve in accordance with GAAP against any liabilities associated with the asset disposed of in such transaction and retained by Holdings III or any of its Restricted Subsidiaries after such sale or other disposition thereof, including pension and other post-employment benefit liabilities and liabilities related to environmental matters or against any indemnification obligations associated with such transaction.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60" w:right="280" w:firstLine="443"/>
        <w:spacing w:after="0" w:line="264" w:lineRule="auto"/>
        <w:tabs>
          <w:tab w:leader="none" w:pos="11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Restricted Subsidiary of such specified Person, including Indebtedness incurred in connection with, or in contemplation of, such other Person merging with or into or becoming a Restricted Subsidiary of such specified Person,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the transactions contemplated by the Transaction Agreement.</w:t>
      </w:r>
    </w:p>
    <w:p>
      <w:pPr>
        <w:spacing w:after="0" w:line="225"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First Lien Debt</w:t>
      </w:r>
      <w:r>
        <w:rPr>
          <w:rFonts w:ascii="Arial" w:cs="Arial" w:eastAsia="Arial" w:hAnsi="Arial"/>
          <w:sz w:val="17"/>
          <w:szCs w:val="17"/>
          <w:color w:val="auto"/>
        </w:rPr>
        <w:t xml:space="preserve">” means the Notes (including Guarantees of the Notes), the Existing Secured Notes (including Guarantees of the Existing Secured Notes) and any indebtedness of the Issuer and any Guarantor (other than indebtedness constituting Senior Credit Agreement Obligations)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(but without regard to control of remedies) with the Senior Credit Agreement Obligations (subject to the priority of payments to the Credit Facility Obligations permitted under the definition of Permitted Liens);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indebtedness is permitted to be incurred, secured and guaranteed on such basis by each First Lien Debt Document and (ii) the representative for the holders of such indebtedness is, in the case of the Collateral Agent, a party to the Intercreditor Agreement, or in the case of any Additional First Lien Debt entered into after the Issue Date, shall have become party to the Intercreditor Agreement.</w:t>
      </w:r>
    </w:p>
    <w:p>
      <w:pPr>
        <w:spacing w:after="0" w:line="17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First Lien Debt Collateral Documents</w:t>
      </w:r>
      <w:r>
        <w:rPr>
          <w:rFonts w:ascii="Arial" w:cs="Arial" w:eastAsia="Arial" w:hAnsi="Arial"/>
          <w:sz w:val="18"/>
          <w:szCs w:val="18"/>
          <w:color w:val="auto"/>
        </w:rPr>
        <w:t>” means the Collateral Documents relating to the Notes and each other agreement, instrument or other document entered into in favor of the representative for any class of Secured Parties under any class of Additional First Lien Debt for the purposes of securing such Additional First Lien Debt Obligations.</w:t>
      </w:r>
    </w:p>
    <w:p>
      <w:pPr>
        <w:spacing w:after="0" w:line="18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First Lien Debt Documents</w:t>
      </w:r>
      <w:r>
        <w:rPr>
          <w:rFonts w:ascii="Arial" w:cs="Arial" w:eastAsia="Arial" w:hAnsi="Arial"/>
          <w:sz w:val="18"/>
          <w:szCs w:val="18"/>
          <w:color w:val="auto"/>
        </w:rPr>
        <w:t>” means, with respect to any class of Additional First Lien Debt, the promissory notes, indentures, Additional First Lien Debt Collateral Documents or other operative agreements evidencing or governing such Additional First Lien Debt Obligations, as the same may be amended, restated, supplemented or otherwise modified from time to time.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0" w:name="page41"/>
    <w:bookmarkEnd w:id="40"/>
    <w:p>
      <w:pPr>
        <w:ind w:right="26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Additional First Lien Debt Obligations</w:t>
      </w:r>
      <w:r>
        <w:rPr>
          <w:rFonts w:ascii="Arial" w:cs="Arial" w:eastAsia="Arial" w:hAnsi="Arial"/>
          <w:sz w:val="16"/>
          <w:szCs w:val="16"/>
          <w:color w:val="auto"/>
        </w:rPr>
        <w:t>” means, with respect to any class of Additional First Lien Debt, (a) all principal of and interest (including, without limitation, any interest which accrues after the commencement of any case, proceeding or other action relating to the bankruptcy, insolvency or reorganization of the Issuer, whether or not allowed or allowable as a claim in any such proceeding) payable with respect to such Additional First Lien Debt, (b) all other amounts payable to the related Additional First Lien Debt Parties under the related Additional First Lien Debt Documents and</w:t>
      </w:r>
    </w:p>
    <w:p>
      <w:pPr>
        <w:spacing w:after="0" w:line="2" w:lineRule="exact"/>
        <w:rPr>
          <w:sz w:val="20"/>
          <w:szCs w:val="20"/>
          <w:color w:val="auto"/>
        </w:rPr>
      </w:pPr>
    </w:p>
    <w:p>
      <w:pPr>
        <w:ind w:right="600" w:firstLine="8"/>
        <w:spacing w:after="0" w:line="261"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any renewals, extensions or refinancings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(c), the representative in respect of such class has executed and delivered a joinder agreement in compliance with the Intercreditor Agreement.</w:t>
      </w:r>
    </w:p>
    <w:p>
      <w:pPr>
        <w:spacing w:after="0" w:line="184"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First Lien Debt Parties</w:t>
      </w:r>
      <w:r>
        <w:rPr>
          <w:rFonts w:ascii="Arial" w:cs="Arial" w:eastAsia="Arial" w:hAnsi="Arial"/>
          <w:sz w:val="18"/>
          <w:szCs w:val="18"/>
          <w:color w:val="auto"/>
        </w:rPr>
        <w:t>” means, with respect to any class of Additional First Lien Debt, the holders of such Indebtedness from time to time, any trustee or agent therefor under any related Additional First Lien Debt Documents, and the beneficiaries of each indemnification obligation undertaken by the Issuer or any obligor under any related Additional First Lien Debt Documents.</w:t>
      </w:r>
    </w:p>
    <w:p>
      <w:pPr>
        <w:spacing w:after="0" w:line="181"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means additional Notes (other than the Initial Notes) issued from time to time under this Indenture in accordance with Sections 2.01 and 4.09 hereof.</w:t>
      </w:r>
    </w:p>
    <w:p>
      <w:pPr>
        <w:spacing w:after="0" w:line="170"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or Paying Agent.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Agreed Security Principles</w:t>
      </w:r>
      <w:r>
        <w:rPr>
          <w:rFonts w:ascii="Arial" w:cs="Arial" w:eastAsia="Arial" w:hAnsi="Arial"/>
          <w:sz w:val="17"/>
          <w:szCs w:val="17"/>
          <w:color w:val="auto"/>
        </w:rPr>
        <w:t>” means the Agreed Security Principles as set out in Exhibit E, as applied reasonably and in good faith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Authorized Representative</w:t>
      </w:r>
      <w:r>
        <w:rPr>
          <w:rFonts w:ascii="Arial" w:cs="Arial" w:eastAsia="Arial" w:hAnsi="Arial"/>
          <w:sz w:val="18"/>
          <w:szCs w:val="18"/>
          <w:color w:val="auto"/>
        </w:rPr>
        <w:t>” shall have the meaning set forth in the Intercreditor Agreement.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Currency Equivalent</w:t>
      </w:r>
      <w:r>
        <w:rPr>
          <w:rFonts w:ascii="Arial" w:cs="Arial" w:eastAsia="Arial" w:hAnsi="Arial"/>
          <w:sz w:val="18"/>
          <w:szCs w:val="18"/>
          <w:color w:val="auto"/>
        </w:rPr>
        <w:t>” means, with respect to any monetary amount in a currency other than U.S. dollars, at any time for the determination thereof, the amount of U.S. dollars obtained by converting such foreign currency involved in such computation into U.S. dollars, at the spot rate for the purchase of U.S. dollars, with the applicable foreign currency as quoted by Reuters at approximately 10:00 A.M. (New York time) on the date that is two Business Days prior to such determination.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Premium</w:t>
      </w:r>
      <w:r>
        <w:rPr>
          <w:rFonts w:ascii="Arial" w:cs="Arial" w:eastAsia="Arial" w:hAnsi="Arial"/>
          <w:sz w:val="18"/>
          <w:szCs w:val="18"/>
          <w:color w:val="auto"/>
        </w:rPr>
        <w:t>” means, with respect to any Note on any Redemption Date, the greater of:</w:t>
      </w:r>
    </w:p>
    <w:p>
      <w:pPr>
        <w:spacing w:after="0" w:line="117" w:lineRule="exact"/>
        <w:rPr>
          <w:sz w:val="20"/>
          <w:szCs w:val="20"/>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excess, if any, of (a) the present value at such Redemption Date of (i) the redemption price of such Note at May 15, 2016 (such</w:t>
      </w:r>
    </w:p>
    <w:p>
      <w:pPr>
        <w:spacing w:after="0" w:line="34" w:lineRule="exact"/>
        <w:rPr>
          <w:rFonts w:ascii="Arial" w:cs="Arial" w:eastAsia="Arial" w:hAnsi="Arial"/>
          <w:sz w:val="17"/>
          <w:szCs w:val="17"/>
          <w:color w:val="auto"/>
        </w:rPr>
      </w:pPr>
    </w:p>
    <w:p>
      <w:pPr>
        <w:ind w:left="460" w:right="180"/>
        <w:spacing w:after="0" w:line="255" w:lineRule="auto"/>
        <w:rPr>
          <w:rFonts w:ascii="Arial" w:cs="Arial" w:eastAsia="Arial" w:hAnsi="Arial"/>
          <w:sz w:val="17"/>
          <w:szCs w:val="17"/>
          <w:color w:val="auto"/>
        </w:rPr>
      </w:pPr>
      <w:r>
        <w:rPr>
          <w:rFonts w:ascii="Arial" w:cs="Arial" w:eastAsia="Arial" w:hAnsi="Arial"/>
          <w:sz w:val="18"/>
          <w:szCs w:val="18"/>
          <w:color w:val="auto"/>
        </w:rPr>
        <w:t>redemption price being set forth in Section 3.07(d) hereof) plus (ii) all required interest payments due on such Note through May 15, 2016 (excluding accrued but unpaid interest to the Redemption Date), computed using a discount rate equal to the Treasury Rate as of such Redemption Date plus 50 basis points; over (b) the principal amount of such Note.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1" w:name="page42"/>
    <w:bookmarkEnd w:id="41"/>
    <w:p>
      <w:pPr>
        <w:ind w:right="7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that apply to such transfer or exchange.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460" w:right="200" w:firstLine="443"/>
        <w:spacing w:after="0" w:line="264"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by way of a Sale and Lease-Back Transaction) of the Company or any of its Restricted Subsidiaries (each referred to in this definition as a “disposition”); or</w:t>
      </w:r>
    </w:p>
    <w:p>
      <w:pPr>
        <w:spacing w:after="0" w:line="73" w:lineRule="exact"/>
        <w:rPr>
          <w:rFonts w:ascii="Arial" w:cs="Arial" w:eastAsia="Arial" w:hAnsi="Arial"/>
          <w:sz w:val="18"/>
          <w:szCs w:val="18"/>
          <w:color w:val="auto"/>
        </w:rPr>
      </w:pPr>
    </w:p>
    <w:p>
      <w:pPr>
        <w:ind w:left="460" w:right="800" w:firstLine="443"/>
        <w:spacing w:after="0" w:line="277"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issuance or sale of Equity Interests of any Restricted Subsidiary (other than Preferred Stock of Restricted Subsidiaries issued in compliance with Section 4.09 hereof), whether in a single transaction or a series of related transactions;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other than:</w:t>
      </w:r>
    </w:p>
    <w:p>
      <w:pPr>
        <w:spacing w:after="0" w:line="117" w:lineRule="exact"/>
        <w:rPr>
          <w:sz w:val="20"/>
          <w:szCs w:val="20"/>
          <w:color w:val="auto"/>
        </w:rPr>
      </w:pPr>
    </w:p>
    <w:p>
      <w:pPr>
        <w:ind w:right="180" w:firstLine="921"/>
        <w:spacing w:after="0" w:line="277" w:lineRule="auto"/>
        <w:tabs>
          <w:tab w:leader="none" w:pos="11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disposition of Cash Equivalents or Investment Grade Securities or obsolete or worn out equipment in the ordinary course of business or any disposition of inventory or goods (or other assets) no longer used in the ordinary course of business;</w:t>
      </w:r>
    </w:p>
    <w:p>
      <w:pPr>
        <w:spacing w:after="0" w:line="62"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disposition of all or substantially all of the assets of the Company or the Issuer in a manner permitted pursuant to the provisions described under Section 5.01 hereof or any disposition that constitutes a Change of Control pursuant to this Indenture;</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making of any Restricted Payment or Permitted Investment that is permitted to be made, and is made, under Section 4.07 hereof;</w:t>
      </w:r>
    </w:p>
    <w:p>
      <w:pPr>
        <w:spacing w:after="0" w:line="128" w:lineRule="exact"/>
        <w:rPr>
          <w:rFonts w:ascii="Arial" w:cs="Arial" w:eastAsia="Arial" w:hAnsi="Arial"/>
          <w:sz w:val="17"/>
          <w:szCs w:val="17"/>
          <w:color w:val="auto"/>
        </w:rPr>
      </w:pPr>
    </w:p>
    <w:p>
      <w:pPr>
        <w:ind w:right="20" w:firstLine="921"/>
        <w:spacing w:after="0" w:line="277" w:lineRule="auto"/>
        <w:tabs>
          <w:tab w:leader="none" w:pos="11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disposition of assets or issuance or sale of Equity Interests of any Restricted Subsidiary in any transaction or series of related transactions with an aggregate fair market value of less than $50.0 million;</w:t>
      </w:r>
    </w:p>
    <w:p>
      <w:pPr>
        <w:spacing w:after="0" w:line="62" w:lineRule="exact"/>
        <w:rPr>
          <w:rFonts w:ascii="Arial" w:cs="Arial" w:eastAsia="Arial" w:hAnsi="Arial"/>
          <w:sz w:val="18"/>
          <w:szCs w:val="18"/>
          <w:color w:val="auto"/>
        </w:rPr>
      </w:pPr>
    </w:p>
    <w:p>
      <w:pPr>
        <w:ind w:right="80" w:firstLine="921"/>
        <w:spacing w:after="0" w:line="277" w:lineRule="auto"/>
        <w:tabs>
          <w:tab w:leader="none" w:pos="11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disposition of property or assets by the Company or a Restricted Subsidiary of the Company, or the issuance of securities by a Restricted Subsidiary of the Company, in either case, to the Company or another Restricted Subsidiary of the Company;</w:t>
      </w:r>
    </w:p>
    <w:p>
      <w:pPr>
        <w:spacing w:after="0" w:line="62" w:lineRule="exact"/>
        <w:rPr>
          <w:rFonts w:ascii="Arial" w:cs="Arial" w:eastAsia="Arial" w:hAnsi="Arial"/>
          <w:sz w:val="18"/>
          <w:szCs w:val="18"/>
          <w:color w:val="auto"/>
        </w:rPr>
      </w:pPr>
    </w:p>
    <w:p>
      <w:pPr>
        <w:ind w:right="40" w:firstLine="921"/>
        <w:spacing w:after="0" w:line="277" w:lineRule="auto"/>
        <w:tabs>
          <w:tab w:leader="none" w:pos="11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Internal Revenue Code of 1986, any exchange of like property (excluding any boot thereon) for use in a Similar Business;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lease, assignment or sub-lease of any real or personal property in the ordinary course of business;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issuance or sale of Equity Interests in, or Indebtedness or other securities of, an Unrestricted Subsidiary;</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foreclosures, condemnation or any similar action on assets or the granting of Liens not prohibited by this Indenture;</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sales of accounts receivable, or participations therein, or Securitization Assets or related assets in connection with any Qualified Securitization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Facility;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2" w:name="page43"/>
    <w:bookmarkEnd w:id="42"/>
    <w:p>
      <w:pPr>
        <w:ind w:right="580" w:firstLine="921"/>
        <w:spacing w:after="0" w:line="277"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financing transaction with respect to property built or acquired by the Company or any Restricted Subsidiary after the Issue Date, including Sale and Lease-Back Transactions and asset securitizations permitted by this Indenture;</w:t>
      </w:r>
    </w:p>
    <w:p>
      <w:pPr>
        <w:spacing w:after="0" w:line="62" w:lineRule="exact"/>
        <w:rPr>
          <w:rFonts w:ascii="Arial" w:cs="Arial" w:eastAsia="Arial" w:hAnsi="Arial"/>
          <w:sz w:val="18"/>
          <w:szCs w:val="18"/>
          <w:color w:val="auto"/>
        </w:rPr>
      </w:pPr>
    </w:p>
    <w:p>
      <w:pPr>
        <w:ind w:right="380" w:firstLine="921"/>
        <w:spacing w:after="0" w:line="277" w:lineRule="auto"/>
        <w:tabs>
          <w:tab w:leader="none" w:pos="11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sale or discount of inventory, accounts receivable or notes receivable in the ordinary course of business or the conversion of accounts receivable to notes receivable;</w:t>
      </w:r>
    </w:p>
    <w:p>
      <w:pPr>
        <w:spacing w:after="0" w:line="62" w:lineRule="exact"/>
        <w:rPr>
          <w:rFonts w:ascii="Arial" w:cs="Arial" w:eastAsia="Arial" w:hAnsi="Arial"/>
          <w:sz w:val="18"/>
          <w:szCs w:val="18"/>
          <w:color w:val="auto"/>
        </w:rPr>
      </w:pPr>
    </w:p>
    <w:p>
      <w:pPr>
        <w:ind w:right="80" w:firstLine="921"/>
        <w:spacing w:after="0" w:line="277" w:lineRule="auto"/>
        <w:tabs>
          <w:tab w:leader="none" w:pos="12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other general intangibles in the ordinary course of business, other than the licensing of intellectual property on a long-term basis;</w:t>
      </w:r>
    </w:p>
    <w:p>
      <w:pPr>
        <w:spacing w:after="0" w:line="62" w:lineRule="exact"/>
        <w:rPr>
          <w:rFonts w:ascii="Arial" w:cs="Arial" w:eastAsia="Arial" w:hAnsi="Arial"/>
          <w:sz w:val="18"/>
          <w:szCs w:val="18"/>
          <w:color w:val="auto"/>
        </w:rPr>
      </w:pPr>
    </w:p>
    <w:p>
      <w:pPr>
        <w:ind w:right="100" w:firstLine="921"/>
        <w:spacing w:after="0" w:line="277"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other general intangibles on a long-term basis in the ordinary course or business and which do not materially interfere with the business of the Company and its Subsidiaries, taken as a whole;</w:t>
      </w:r>
    </w:p>
    <w:p>
      <w:pPr>
        <w:spacing w:after="0" w:line="62" w:lineRule="exact"/>
        <w:rPr>
          <w:rFonts w:ascii="Arial" w:cs="Arial" w:eastAsia="Arial" w:hAnsi="Arial"/>
          <w:sz w:val="18"/>
          <w:szCs w:val="18"/>
          <w:color w:val="auto"/>
        </w:rPr>
      </w:pPr>
    </w:p>
    <w:p>
      <w:pPr>
        <w:ind w:right="260" w:firstLine="921"/>
        <w:spacing w:after="0" w:line="277"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surrender or waiver of contract rights or the settlement, release or surrender of contract rights or other litigation claims in the ordinary course of business; and</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300 Millimeter Asset Sale.</w:t>
      </w:r>
    </w:p>
    <w:p>
      <w:pPr>
        <w:spacing w:after="0" w:line="225"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Person</w:t>
      </w:r>
      <w:r>
        <w:rPr>
          <w:rFonts w:ascii="Arial" w:cs="Arial" w:eastAsia="Arial" w:hAnsi="Arial"/>
          <w:sz w:val="18"/>
          <w:szCs w:val="18"/>
          <w:color w:val="auto"/>
        </w:rPr>
        <w:t>” of the Issuer or any other Person means the person or persons authorized to act on behalf of such entity by its chief executive officer, president, chief operating officer, chief financial officer or any vice president (or the equivalent of any of the foregoing) or its Board of Directors or any other governing body of such entity.</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U.S. Code or any similar federal or state law for the relief of debtors. “Business Day” means each day which is not a Legal Holiday.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w:t>
      </w:r>
      <w:r>
        <w:rPr>
          <w:rFonts w:ascii="Arial" w:cs="Arial" w:eastAsia="Arial" w:hAnsi="Arial"/>
          <w:sz w:val="18"/>
          <w:szCs w:val="18"/>
          <w:color w:val="auto"/>
        </w:rPr>
        <w:t>” means, at the time any determination thereof is to be made, the amount of the liability in respect of a capital lease that would at such time be required to be capitalized and reflected as a liability on a balance sheet (excluding the footnotes thereto) prepared in accordance with GAAP.</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Software Expenditures</w:t>
      </w:r>
      <w:r>
        <w:rPr>
          <w:rFonts w:ascii="Arial" w:cs="Arial" w:eastAsia="Arial" w:hAnsi="Arial"/>
          <w:sz w:val="18"/>
          <w:szCs w:val="18"/>
          <w:color w:val="auto"/>
        </w:rPr>
        <w:t>” shall mean,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700" w:hanging="25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pounds sterling, euros or any national currency of any participating member state of the EMU; or</w:t>
      </w:r>
    </w:p>
    <w:p>
      <w:pPr>
        <w:spacing w:after="0" w:line="117" w:lineRule="exact"/>
        <w:rPr>
          <w:rFonts w:ascii="Arial" w:cs="Arial" w:eastAsia="Arial" w:hAnsi="Arial"/>
          <w:sz w:val="18"/>
          <w:szCs w:val="18"/>
          <w:color w:val="auto"/>
        </w:rPr>
      </w:pPr>
    </w:p>
    <w:p>
      <w:pPr>
        <w:ind w:right="600" w:firstLine="881"/>
        <w:spacing w:after="0" w:line="277" w:lineRule="auto"/>
        <w:tabs>
          <w:tab w:leader="none" w:pos="1131"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the case of any Foreign Subsidiary that is a Restricted Subsidiary, such local currencies held by them from time to time in the ordinary course of business;</w:t>
      </w:r>
    </w:p>
    <w:p>
      <w:pPr>
        <w:spacing w:after="0" w:line="62" w:lineRule="exact"/>
        <w:rPr>
          <w:rFonts w:ascii="Arial" w:cs="Arial" w:eastAsia="Arial" w:hAnsi="Arial"/>
          <w:sz w:val="18"/>
          <w:szCs w:val="18"/>
          <w:color w:val="auto"/>
        </w:rPr>
      </w:pPr>
    </w:p>
    <w:p>
      <w:pPr>
        <w:ind w:right="160" w:firstLine="443"/>
        <w:spacing w:after="0" w:line="264"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w:t>
      </w:r>
    </w:p>
    <w:p>
      <w:pPr>
        <w:spacing w:after="0" w:line="73" w:lineRule="exact"/>
        <w:rPr>
          <w:rFonts w:ascii="Arial" w:cs="Arial" w:eastAsia="Arial" w:hAnsi="Arial"/>
          <w:sz w:val="18"/>
          <w:szCs w:val="18"/>
          <w:color w:val="auto"/>
        </w:rPr>
      </w:pPr>
    </w:p>
    <w:p>
      <w:pPr>
        <w:ind w:right="260" w:firstLine="443"/>
        <w:spacing w:after="0" w:line="259"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bankers’ acceptances with maturities not exceeding one year and overnight bank deposits, in each case with any domestic or foreign commercial bank having capital and surplus of not less than $500.0 million in the case of U.S. banks and $100.0 million (or the U.S. dollar equivalent as of the date of determination) in the case of non-U.S. banks;</w:t>
      </w:r>
    </w:p>
    <w:p>
      <w:pPr>
        <w:spacing w:after="0" w:line="78" w:lineRule="exact"/>
        <w:rPr>
          <w:rFonts w:ascii="Arial" w:cs="Arial" w:eastAsia="Arial" w:hAnsi="Arial"/>
          <w:sz w:val="18"/>
          <w:szCs w:val="18"/>
          <w:color w:val="auto"/>
        </w:rPr>
      </w:pPr>
    </w:p>
    <w:p>
      <w:pPr>
        <w:ind w:right="320" w:firstLine="443"/>
        <w:spacing w:after="0" w:line="277"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repurchase obligations for underlying securities of the types described in clauses (3), (4) and (8) entered into with any financial institution meeting the qualifications specified in clause (4) above;</w:t>
      </w:r>
    </w:p>
    <w:p>
      <w:pPr>
        <w:spacing w:after="0" w:line="62" w:lineRule="exact"/>
        <w:rPr>
          <w:rFonts w:ascii="Arial" w:cs="Arial" w:eastAsia="Arial" w:hAnsi="Arial"/>
          <w:sz w:val="18"/>
          <w:szCs w:val="18"/>
          <w:color w:val="auto"/>
        </w:rPr>
      </w:pPr>
    </w:p>
    <w:p>
      <w:pPr>
        <w:ind w:right="80" w:firstLine="443"/>
        <w:spacing w:after="0" w:line="264"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commercial paper rated at least P-1 by Moody’s or at least A-1 by S&amp;P and in each case maturing within 24 months after the date of creation thereof and Indebtedness or Preferred Stock issued by Persons with a rating of “A” or higher from S&amp;P or “A2” or higher from Moody’s with maturities of 24 months or less from the date of acquisition;</w:t>
      </w:r>
    </w:p>
    <w:p>
      <w:pPr>
        <w:spacing w:after="0" w:line="73" w:lineRule="exact"/>
        <w:rPr>
          <w:rFonts w:ascii="Arial" w:cs="Arial" w:eastAsia="Arial" w:hAnsi="Arial"/>
          <w:sz w:val="18"/>
          <w:szCs w:val="18"/>
          <w:color w:val="auto"/>
        </w:rPr>
      </w:pPr>
    </w:p>
    <w:p>
      <w:pPr>
        <w:ind w:right="260" w:firstLine="443"/>
        <w:spacing w:after="0" w:line="264"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marketable short-term money market and similar securities having a rating of at least P-2 or A-2 from either Moody’s or S&amp;P, respectively (or, if at any time neither Moody’s nor S&amp;P shall be rating such obligations, an equivalent rating from another Rating Agency) and in each case maturing within 24 months after the date of creation or acquisition thereof;</w:t>
      </w:r>
    </w:p>
    <w:p>
      <w:pPr>
        <w:spacing w:after="0" w:line="73" w:lineRule="exact"/>
        <w:rPr>
          <w:rFonts w:ascii="Arial" w:cs="Arial" w:eastAsia="Arial" w:hAnsi="Arial"/>
          <w:sz w:val="18"/>
          <w:szCs w:val="18"/>
          <w:color w:val="auto"/>
        </w:rPr>
      </w:pPr>
    </w:p>
    <w:p>
      <w:pPr>
        <w:ind w:firstLine="443"/>
        <w:spacing w:after="0" w:line="342" w:lineRule="auto"/>
        <w:tabs>
          <w:tab w:leader="none" w:pos="693"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readily marketable direct obligations issued by any state, commonwealth or territory of the United States or any political subdivision or taxing authority thereof having an Investment Grade Rating from either Moody’s or S&amp;P with maturities of 24 months or less from the date of acquisition;</w:t>
      </w:r>
    </w:p>
    <w:p>
      <w:pPr>
        <w:spacing w:after="0" w:line="15" w:lineRule="exact"/>
        <w:rPr>
          <w:rFonts w:ascii="Arial" w:cs="Arial" w:eastAsia="Arial" w:hAnsi="Arial"/>
          <w:sz w:val="16"/>
          <w:szCs w:val="16"/>
          <w:color w:val="auto"/>
        </w:rPr>
      </w:pPr>
    </w:p>
    <w:p>
      <w:pPr>
        <w:ind w:right="120" w:firstLine="443"/>
        <w:spacing w:after="0" w:line="308" w:lineRule="auto"/>
        <w:tabs>
          <w:tab w:leader="none" w:pos="693"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readily marketable direct obligations issued by any foreign government or any political subdivision or public instrumentality thereof, in each case having an Investment Grade Rating from either Moody’s or S&amp;P with maturities of 24 months or less from the date of acquisition;</w:t>
      </w:r>
    </w:p>
    <w:p>
      <w:pPr>
        <w:spacing w:after="0" w:line="38" w:lineRule="exact"/>
        <w:rPr>
          <w:rFonts w:ascii="Arial" w:cs="Arial" w:eastAsia="Arial" w:hAnsi="Arial"/>
          <w:sz w:val="17"/>
          <w:szCs w:val="17"/>
          <w:color w:val="auto"/>
        </w:rPr>
      </w:pPr>
    </w:p>
    <w:p>
      <w:pPr>
        <w:ind w:right="80" w:firstLine="443"/>
        <w:spacing w:after="0" w:line="277" w:lineRule="auto"/>
        <w:tabs>
          <w:tab w:leader="none" w:pos="7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with average maturities of 12 months or less from the date of acquisition in money market funds rated AAA- (or the equivalent thereof) or better by S&amp;P or Aaa3 (or the equivalent thereof) or better by Moody’s; and</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74" w:right="259" w:bottom="1440" w:gutter="0" w:footer="0" w:header="0"/>
        </w:sectPr>
      </w:pPr>
    </w:p>
    <w:bookmarkStart w:id="44" w:name="page45"/>
    <w:bookmarkEnd w:id="4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 investment funds investing 90% of their assets in securities of the types described in clauses (1) through (10) above.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Notwithstanding the foregoing, Cash Equivalents shall include amounts denominated in currencies other than those set forth in clauses (1) and</w:t>
      </w:r>
    </w:p>
    <w:p>
      <w:pPr>
        <w:spacing w:after="0" w:line="46" w:lineRule="exact"/>
        <w:rPr>
          <w:sz w:val="20"/>
          <w:szCs w:val="20"/>
          <w:color w:val="auto"/>
        </w:rPr>
      </w:pPr>
    </w:p>
    <w:p>
      <w:pPr>
        <w:ind w:right="380" w:firstLine="8"/>
        <w:spacing w:after="0" w:line="261"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are converted into any currency listed in clauses (1) and (2) as promptly as practicable and in any event within ten Business Days following the receipt of such amounts.</w:t>
      </w:r>
    </w:p>
    <w:p>
      <w:pPr>
        <w:spacing w:after="0" w:line="184"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At any time at which the value, calculated in accordance with GAAP, of all investments of the Company and its Restricted Subsidiaries that were deemed, when made, to be Cash Equivalents in accordance with clauses (1) through (11) above exceeds the Indebtedness of the Company and its Restricted Subsidiaries, “Cash Equivalents” shall also mean any investment (a “</w:t>
      </w:r>
      <w:r>
        <w:rPr>
          <w:rFonts w:ascii="Arial" w:cs="Arial" w:eastAsia="Arial" w:hAnsi="Arial"/>
          <w:sz w:val="17"/>
          <w:szCs w:val="17"/>
          <w:u w:val="single" w:color="auto"/>
          <w:color w:val="auto"/>
        </w:rPr>
        <w:t>Qualifying Investment</w:t>
      </w:r>
      <w:r>
        <w:rPr>
          <w:rFonts w:ascii="Arial" w:cs="Arial" w:eastAsia="Arial" w:hAnsi="Arial"/>
          <w:sz w:val="17"/>
          <w:szCs w:val="17"/>
          <w:color w:val="auto"/>
        </w:rPr>
        <w:t>”) that satisfies the following two conditions: (a) the Qualifying Investment is of a type described in clauses (1) through (11) of this definition, but has an effective maturity (whether by reason of final maturity, a put option or, in the case of an asset-backed security, an average life) of five years and one month or less from the date of such Qualifying Investment (notwithstanding any provision contained in such clauses (1) through (10) requiring a shorter maturity); and (b) the weighted average effective maturity of such Qualifying Investment and all other investments that were made as Qualifying Investments in accordance with this paragraph, does not exceed two years from the date of such Qualifying Investment.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460" w:right="60" w:firstLine="443"/>
        <w:spacing w:after="0" w:line="277" w:lineRule="auto"/>
        <w:tabs>
          <w:tab w:leader="none" w:pos="11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sale, lease or transfer, in one or a series of related transactions, of all or substantially all of the assets of the Company and its Subsidiaries, taken as a whole, to any Person other than a Permitted Holder; or</w:t>
      </w:r>
    </w:p>
    <w:p>
      <w:pPr>
        <w:spacing w:after="0" w:line="62" w:lineRule="exact"/>
        <w:rPr>
          <w:rFonts w:ascii="Arial" w:cs="Arial" w:eastAsia="Arial" w:hAnsi="Arial"/>
          <w:sz w:val="18"/>
          <w:szCs w:val="18"/>
          <w:color w:val="auto"/>
        </w:rPr>
      </w:pPr>
    </w:p>
    <w:p>
      <w:pPr>
        <w:jc w:val="both"/>
        <w:ind w:left="460" w:right="140" w:firstLine="443"/>
        <w:spacing w:after="0" w:line="288" w:lineRule="auto"/>
        <w:tabs>
          <w:tab w:leader="none" w:pos="1153"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Company becomes aware of (by way of a report or any other filing pursuant to Section 13(d) of the Exchange Act, proxy, vote, written notice or otherwise) the acquisition by any Person or group (within the meaning of Section 13(d)(3) or Section 14(d)(2) of the Exchange Act, or any successor provision), including any group acting for the purpose of acquiring, holding or disposing of securities (within the meaning of Rule 13d-5(b)</w:t>
      </w:r>
    </w:p>
    <w:p>
      <w:pPr>
        <w:ind w:left="460" w:firstLine="4"/>
        <w:spacing w:after="0" w:line="273" w:lineRule="auto"/>
        <w:tabs>
          <w:tab w:leader="none" w:pos="7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under the Exchange Act), other than one or more Permitted Holders, in a single transaction or in a related series of transactions, by way of merger, amalgamation, consolidation or other business combination or purchase of beneficial ownership (within the meaning of Rule 13d-3 under the Exchange Act, or any successor provision) of 50% or more of the total voting power of the Voting Stock of the Company (directly or through the acquisition of voting power of Voting Stock of any of the Company’s direct or indirect parent companies).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Société Anonyme.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all assets and properties subject to Liens created pursuant to any Collateral Document to secure any Obligation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w:t>
      </w:r>
      <w:r>
        <w:rPr>
          <w:rFonts w:ascii="Arial" w:cs="Arial" w:eastAsia="Arial" w:hAnsi="Arial"/>
          <w:sz w:val="17"/>
          <w:szCs w:val="17"/>
          <w:color w:val="auto"/>
        </w:rPr>
        <w:t>” means Citibank, N.A. prior to the Merger Date, or Morgan Stanley Senior Funding, Inc., as of and after the Merger Date, each in their capacity as collateral agent for the Trustee and the Holders under the Security Agreement, and in their capacity as the collateral agent for the Senior Credit Agreement Secured Parties under the Senior Credit Agreement Collateral Documents, and, in each case, any successor thereof.</w:t>
      </w:r>
    </w:p>
    <w:p>
      <w:pPr>
        <w:spacing w:after="0" w:line="166"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Senior Credit Agreement Collateral Documents, the Additional First Lien Debt Collateral Documents and the Intercreditor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5" w:name="page46"/>
    <w:bookmarkEnd w:id="45"/>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Company</w:t>
      </w:r>
      <w:r>
        <w:rPr>
          <w:rFonts w:ascii="Arial" w:cs="Arial" w:eastAsia="Arial" w:hAnsi="Arial"/>
          <w:sz w:val="17"/>
          <w:szCs w:val="17"/>
          <w:color w:val="auto"/>
        </w:rPr>
        <w:t>” means NXP B.V. a private company with limited liability incorporated under the laws of The Netherlands and its successors.</w:t>
      </w:r>
    </w:p>
    <w:p>
      <w:pPr>
        <w:spacing w:after="0" w:line="23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Expense</w:t>
      </w:r>
      <w:r>
        <w:rPr>
          <w:rFonts w:ascii="Arial" w:cs="Arial" w:eastAsia="Arial" w:hAnsi="Arial"/>
          <w:sz w:val="18"/>
          <w:szCs w:val="18"/>
          <w:color w:val="auto"/>
        </w:rPr>
        <w:t>” means with respect to any Person for any period, the total amount of depreciation and amortization expense, including the amortization of deferred financing fees or costs and Capitalized Software Expenditures of such Person and its Restricted Subsidiaries for such period on a consolidated basis and otherwise determined in accordance with GAAP.</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without duplication, the sum of:</w:t>
      </w:r>
    </w:p>
    <w:p>
      <w:pPr>
        <w:spacing w:after="0" w:line="117" w:lineRule="exact"/>
        <w:rPr>
          <w:sz w:val="20"/>
          <w:szCs w:val="20"/>
          <w:color w:val="auto"/>
        </w:rPr>
      </w:pPr>
    </w:p>
    <w:p>
      <w:pPr>
        <w:ind w:left="460" w:firstLine="443"/>
        <w:spacing w:after="0" w:line="287" w:lineRule="auto"/>
        <w:tabs>
          <w:tab w:leader="none" w:pos="1153"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consolidated interest expense of such Person and its Restricted Subsidiaries for such period, to the extent such expense was deducted (and not added back) in computing Consolidated Net Income (including (a) amortization of original issue discount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Hedging Obligations or other derivative instruments pursuant to GAAP), (d) the interest component of Capitalized Lease Obligations, and (e) net payments, if any made (less net payments, if any, received), pursuant to interest rate Hedging Obligations with respect to Indebtedness, and excluding (t) any expense resulting from the discounting of any Indebtedness in connection with the application of purchase accounting in connection with the Transaction, the Merger or any acquisition, (u) penalties and interest relating to taxes, (v) any “additional interest” with respect to the Existing Secured Notes, the NXP Notes or other securities, (w) amortization of deferred financing fees, debt issuance costs, commissions, fees and expenses, (x) any expensing of bridge, commitment and other financing fees, (y) commissions, discounts, yield and other fees and charges (including any interest expense) related to any Qualified Securitization Facility and (z) any accretion of accrued interest on discounted liabilities); plus</w:t>
      </w:r>
    </w:p>
    <w:p>
      <w:pPr>
        <w:spacing w:after="0" w:line="64" w:lineRule="exact"/>
        <w:rPr>
          <w:rFonts w:ascii="Arial" w:cs="Arial" w:eastAsia="Arial" w:hAnsi="Arial"/>
          <w:sz w:val="16"/>
          <w:szCs w:val="16"/>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consolidated capitalized interest of such Person and its Restricted Subsidiaries for such period, whether paid or accrued; less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interest income for such period.</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70"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with respect to any Person for any period, the aggregate of the Net Income of such Person and its Restricted Subsidiaries for such period, on a consolidated basis, and otherwise determined in accordance with GAAP; provided, that, without duplication,</w:t>
      </w:r>
    </w:p>
    <w:p>
      <w:pPr>
        <w:spacing w:after="0" w:line="16" w:lineRule="exact"/>
        <w:rPr>
          <w:sz w:val="20"/>
          <w:szCs w:val="20"/>
          <w:color w:val="auto"/>
        </w:rPr>
      </w:pPr>
    </w:p>
    <w:p>
      <w:pPr>
        <w:ind w:left="460" w:right="160" w:firstLine="443"/>
        <w:spacing w:after="0" w:line="264" w:lineRule="auto"/>
        <w:tabs>
          <w:tab w:leader="none" w:pos="11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after-tax effect of extraordinary, non-recurring or unusual gains or losses (less all fees and expenses relating thereto) or expenses (including relating to the Transaction, the Merger or any multi-year strategic initiatives), severance, relocation costs and curtailments or modifications to pension and post-retirement employee benefit plans shall be excluded,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6" w:name="page47"/>
    <w:bookmarkEnd w:id="46"/>
    <w:p>
      <w:pPr>
        <w:ind w:right="400" w:firstLine="443"/>
        <w:spacing w:after="0" w:line="277" w:lineRule="auto"/>
        <w:tabs>
          <w:tab w:leader="none" w:pos="693"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Net Income for such period shall not include the cumulative effect of a change in accounting principles and changes as a result of the adoption or modification of accounting policies during such period,</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net after-tax gains or losses on disposal of disposed, abandoned or discontinued operations shall be excluded,</w:t>
      </w:r>
    </w:p>
    <w:p>
      <w:pPr>
        <w:spacing w:after="0" w:line="117" w:lineRule="exact"/>
        <w:rPr>
          <w:rFonts w:ascii="Arial" w:cs="Arial" w:eastAsia="Arial" w:hAnsi="Arial"/>
          <w:sz w:val="18"/>
          <w:szCs w:val="18"/>
          <w:color w:val="auto"/>
        </w:rPr>
      </w:pPr>
    </w:p>
    <w:p>
      <w:pPr>
        <w:ind w:right="40" w:firstLine="443"/>
        <w:spacing w:after="0" w:line="308" w:lineRule="auto"/>
        <w:tabs>
          <w:tab w:leader="none" w:pos="693"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after-tax effect of gains or losses (less all fees and expenses relating thereto) attributable to asset dispositions or abandonments or the sale or other disposition of any Capital Stock of any Person other than in the ordinary course of business shall be excluded,</w:t>
      </w:r>
    </w:p>
    <w:p>
      <w:pPr>
        <w:spacing w:after="0" w:line="38" w:lineRule="exact"/>
        <w:rPr>
          <w:rFonts w:ascii="Arial" w:cs="Arial" w:eastAsia="Arial" w:hAnsi="Arial"/>
          <w:sz w:val="17"/>
          <w:szCs w:val="17"/>
          <w:color w:val="auto"/>
        </w:rPr>
      </w:pPr>
    </w:p>
    <w:p>
      <w:pPr>
        <w:ind w:right="60" w:firstLine="443"/>
        <w:spacing w:after="0" w:line="259" w:lineRule="auto"/>
        <w:tabs>
          <w:tab w:leader="none" w:pos="6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Net Income for such period of any Person that is not a Subsidiary, or is an Unrestricted Subsidiary, or that is accounted for by the equity method of accounting, shall be excluded; provided that Consolidated Net Income of the Company shall be increased by the amount of dividends or distributions or other payments that are actually paid in cash (or to the extent converted into cash) to the Company or a Restricted Subsidiary thereof in respect of such period,</w:t>
      </w:r>
    </w:p>
    <w:p>
      <w:pPr>
        <w:spacing w:after="0" w:line="78" w:lineRule="exact"/>
        <w:rPr>
          <w:rFonts w:ascii="Arial" w:cs="Arial" w:eastAsia="Arial" w:hAnsi="Arial"/>
          <w:sz w:val="18"/>
          <w:szCs w:val="18"/>
          <w:color w:val="auto"/>
        </w:rPr>
      </w:pPr>
    </w:p>
    <w:p>
      <w:pPr>
        <w:ind w:firstLine="443"/>
        <w:spacing w:after="0" w:line="287" w:lineRule="auto"/>
        <w:tabs>
          <w:tab w:leader="none" w:pos="693"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solely for the purpose of determining the amount available for Restricted Payments under clause (3) (A) of Section 4.07(a) hereof, the Net Income for such period of any Restricted Subsidiary (other than any Guarantor) shall be excluded to the extent that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Income of the Company will be increased by the amount of dividends or other distributions or other payments actually paid in cash (or to the extent converted into cash) to the Company or a Restricted Subsidiary thereof in respect of such period, to the extent not already included therein, effects of adjustments (including the effects of such adjustments pushed down to the Company and its Restricted Subsidiaries) in the inventory, property and equipment, software, goodwill, other intangible assets, in-process research and development, deferred revenue and debt line items in such Person’s consolidated financial statements pursuant to GAAP resulting from the application of purchase accounting in relation to the Transaction, the Merger or any consummated acquisition or the amortization or write-off of any amounts thereof, net of taxes, shall be excluded,</w:t>
      </w:r>
    </w:p>
    <w:p>
      <w:pPr>
        <w:spacing w:after="0" w:line="60" w:lineRule="exact"/>
        <w:rPr>
          <w:rFonts w:ascii="Arial" w:cs="Arial" w:eastAsia="Arial" w:hAnsi="Arial"/>
          <w:sz w:val="16"/>
          <w:szCs w:val="16"/>
          <w:color w:val="auto"/>
        </w:rPr>
      </w:pPr>
    </w:p>
    <w:p>
      <w:pPr>
        <w:ind w:right="500" w:firstLine="443"/>
        <w:spacing w:after="0" w:line="277" w:lineRule="auto"/>
        <w:tabs>
          <w:tab w:leader="none" w:pos="6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after-tax effect of income (loss) from the early extinguishment of (i) Indebtedness, (ii) Hedging Obligations or (iii) other derivative instruments shall be excluded,</w:t>
      </w:r>
    </w:p>
    <w:p>
      <w:pPr>
        <w:spacing w:after="0" w:line="62" w:lineRule="exact"/>
        <w:rPr>
          <w:rFonts w:ascii="Arial" w:cs="Arial" w:eastAsia="Arial" w:hAnsi="Arial"/>
          <w:sz w:val="18"/>
          <w:szCs w:val="18"/>
          <w:color w:val="auto"/>
        </w:rPr>
      </w:pPr>
    </w:p>
    <w:p>
      <w:pPr>
        <w:ind w:right="40" w:firstLine="443"/>
        <w:spacing w:after="0" w:line="264" w:lineRule="auto"/>
        <w:tabs>
          <w:tab w:leader="none" w:pos="6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impairment charge or asset write-off or write-down, including impairment charges or asset write-offs or write-downs related to intangible assets, long-lived assets, investments in debt and equity securities or as a result of a change in law or regulation, in each case, pursuant to GAAP, and the amortization of intangibles arising pursuant to GAAP shall be excluded,</w:t>
      </w:r>
    </w:p>
    <w:p>
      <w:pPr>
        <w:spacing w:after="0" w:line="73" w:lineRule="exact"/>
        <w:rPr>
          <w:rFonts w:ascii="Arial" w:cs="Arial" w:eastAsia="Arial" w:hAnsi="Arial"/>
          <w:sz w:val="18"/>
          <w:szCs w:val="18"/>
          <w:color w:val="auto"/>
        </w:rPr>
      </w:pPr>
    </w:p>
    <w:p>
      <w:pPr>
        <w:ind w:right="80" w:firstLine="443"/>
        <w:spacing w:after="0" w:line="277" w:lineRule="auto"/>
        <w:tabs>
          <w:tab w:leader="none" w:pos="6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non-cash compensation charge or expense including any such charge arising from the grants of stock appreciation or similar rights, stock options, restricted stock or other rights shall be excluded,</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47" w:name="page48"/>
    <w:bookmarkEnd w:id="47"/>
    <w:p>
      <w:pPr>
        <w:ind w:left="460" w:right="80" w:firstLine="443"/>
        <w:spacing w:after="0" w:line="302" w:lineRule="auto"/>
        <w:tabs>
          <w:tab w:leader="none" w:pos="1243"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fees and expenses incurred during such period, or any amortization thereof for such period, in connection with any acquisition, Investment, Asset Sale, issuance or repayment of Indebtedness, issuance of Equity Interests, refinancing transaction or amendment or modification of any debt instrument (in each case, including any such transaction consummated prior to the Issue Date and any such transaction undertaken but not completed) and any charges or non-recurring merger costs incurred during such period as a result of any such transaction shall be excluded,</w:t>
      </w:r>
    </w:p>
    <w:p>
      <w:pPr>
        <w:spacing w:after="0" w:line="46" w:lineRule="exact"/>
        <w:rPr>
          <w:rFonts w:ascii="Arial" w:cs="Arial" w:eastAsia="Arial" w:hAnsi="Arial"/>
          <w:sz w:val="16"/>
          <w:szCs w:val="16"/>
          <w:color w:val="auto"/>
        </w:rPr>
      </w:pPr>
    </w:p>
    <w:p>
      <w:pPr>
        <w:ind w:left="1240" w:hanging="337"/>
        <w:spacing w:after="0"/>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items shall be excluded:</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585"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net unrealized gain or loss (after any offset) resulting in such period from Hedging Obligations and the application of Statement of Financial Accounting Standards No. 133;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any net unrealized gain or loss (after any offset) resulting in such period from currency translation gains or losses including those</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related to currency remeasurements of Indebtedness and (ii) resulting from hedge agreements for currency exchange risk.</w:t>
      </w:r>
    </w:p>
    <w:p>
      <w:pPr>
        <w:spacing w:after="0" w:line="211"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In addition, to the extent not already included in the Consolidated Net Income of such Person and its Restricted Subsidiaries, notwithstanding anything to the contrary in the foregoing, Consolidated Net Income shall include the amount of proceeds received from business interruption insurance and reimbursements of any expenses and charges that are covered by indemnification or other reimbursement provisions in connection with any Permitted Investment or any sale, conveyance, transfer or other disposition of assets permitted under this Indenture.</w:t>
      </w:r>
    </w:p>
    <w:p>
      <w:pPr>
        <w:spacing w:after="0" w:line="171" w:lineRule="exact"/>
        <w:rPr>
          <w:sz w:val="20"/>
          <w:szCs w:val="20"/>
          <w:color w:val="auto"/>
        </w:rPr>
      </w:pPr>
    </w:p>
    <w:p>
      <w:pPr>
        <w:ind w:right="200" w:firstLine="913"/>
        <w:spacing w:after="0" w:line="273" w:lineRule="auto"/>
        <w:rPr>
          <w:sz w:val="20"/>
          <w:szCs w:val="20"/>
          <w:color w:val="auto"/>
        </w:rPr>
      </w:pPr>
      <w:r>
        <w:rPr>
          <w:rFonts w:ascii="Arial" w:cs="Arial" w:eastAsia="Arial" w:hAnsi="Arial"/>
          <w:sz w:val="17"/>
          <w:szCs w:val="17"/>
          <w:color w:val="auto"/>
        </w:rPr>
        <w:t>Notwithstanding the foregoing, for the purpose of Section 4.07 hereof only (other than clause (3)(D) of Section 4.07(a) hereof), there shall be excluded from Consolidated Net Income any income arising from any sale or other disposition of Restricted Investments made by the Company and its Restricted Subsidiaries, any repurchases and redemptions of Restricted Investments from the Company and its Restricted Subsidiaries, any repayments of loans and advances which constitute Restricted Investments by the Company or any of its Restricted Subsidiaries, any sale of the stock of an Unrestricted Subsidiary or any distribution or dividend from an Unrestricted Subsidiary, in each case only to the extent such amounts increase the amount of Restricted Payments permitted under clause (3)(D) of Section 4.07(a) hereof.</w:t>
      </w:r>
    </w:p>
    <w:p>
      <w:pPr>
        <w:spacing w:after="0" w:line="17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Secured Debt Ratio</w:t>
      </w:r>
      <w:r>
        <w:rPr>
          <w:rFonts w:ascii="Arial" w:cs="Arial" w:eastAsia="Arial" w:hAnsi="Arial"/>
          <w:sz w:val="17"/>
          <w:szCs w:val="17"/>
          <w:color w:val="auto"/>
        </w:rPr>
        <w:t>” as of any date of determination means, the ratio of (1) Consolidated Total Indebtedness of the Company and its Restricted Subsidiaries that is secured by Liens as of the end of the most recent fiscal quarter for which internal financial statements are available immediately preceding the date on which such event for which such calculation is being made shall occur to (2) the Company’s EBITDA for the most recently ended four full fiscal quarters for which internal financial statements are available immediately preceding the date on which such event for which such calculation is being made shall occur, in each case with such pro forma adjustments to Consolidated Total Indebtedness and EBITDA as are appropriate and consistent with the pro forma adjustment provisions set forth in the definition of Fixed Charge Coverage Ratio.</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4" w:right="339" w:bottom="1440" w:gutter="0" w:footer="0" w:header="0"/>
        </w:sectPr>
      </w:pPr>
    </w:p>
    <w:bookmarkStart w:id="48" w:name="page49"/>
    <w:bookmarkEnd w:id="48"/>
    <w:p>
      <w:pPr>
        <w:ind w:firstLine="91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Consolidated Total Indebtedness</w:t>
      </w:r>
      <w:r>
        <w:rPr>
          <w:rFonts w:ascii="Arial" w:cs="Arial" w:eastAsia="Arial" w:hAnsi="Arial"/>
          <w:sz w:val="17"/>
          <w:szCs w:val="17"/>
          <w:color w:val="auto"/>
        </w:rPr>
        <w:t>” means, as at any date of determination, an amount equal to the sum of (1) the aggregate amount of all outstanding Indebtedness of the Company and its Restricted Subsidiaries on a consolidated basis consisting of Indebtedness for borrowed money, Obligations in respect of Capitalized Lease Obligations and debt obligations evidenced by promissory notes and similar instruments (and excluding, for the avoidance of doubt, all obligations relating to Qualified Securitization Facilities) and (2) the aggregate amount of all outstanding Disqualified Stock of the Company and all Preferred Stock of its Restricted Subsidiaries on a consolidated basis, with the amount of such Disqualified Stock and Preferred Stock equal to the greater of their respective voluntary or involuntary liquidation preferences and maximum fixed repurchase prices, in each case determined on a consolidated basis in accordance with GAAP.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Indenture, and if such price is based upon, or measured by, the fair market value of such Disqualified Stock or Preferred Stock, such fair market value shall be determined reasonably and in good faith by the Company.</w:t>
      </w:r>
    </w:p>
    <w:p>
      <w:pPr>
        <w:spacing w:after="0" w:line="183" w:lineRule="exact"/>
        <w:rPr>
          <w:sz w:val="20"/>
          <w:szCs w:val="20"/>
          <w:color w:val="auto"/>
        </w:rPr>
      </w:pPr>
    </w:p>
    <w:p>
      <w:pPr>
        <w:ind w:right="6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means, with respect to any Person, any obligation of such Person guaranteeing any leases, dividends or other obligations that do not constitute Indebtedness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including, without limitation, any obligation of such Person, whether or not contingent,</w:t>
      </w:r>
    </w:p>
    <w:p>
      <w:pPr>
        <w:spacing w:after="0" w:line="73" w:lineRule="exact"/>
        <w:rPr>
          <w:sz w:val="20"/>
          <w:szCs w:val="20"/>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for the purchase or payment of any such primary obligation, or</w:t>
      </w:r>
    </w:p>
    <w:p>
      <w:pPr>
        <w:spacing w:after="0" w:line="117" w:lineRule="exact"/>
        <w:rPr>
          <w:rFonts w:ascii="Arial" w:cs="Arial" w:eastAsia="Arial" w:hAnsi="Arial"/>
          <w:sz w:val="18"/>
          <w:szCs w:val="18"/>
          <w:color w:val="auto"/>
        </w:rPr>
      </w:pPr>
    </w:p>
    <w:p>
      <w:pPr>
        <w:ind w:left="920" w:right="220" w:firstLine="421"/>
        <w:spacing w:after="0" w:line="277" w:lineRule="auto"/>
        <w:tabs>
          <w:tab w:leader="none" w:pos="15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maintain working capital or equity capital of the primary obligor or otherwise to maintain the net worth or solvency of the primary obligor, or</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 of the Trustee</w:t>
      </w:r>
      <w:r>
        <w:rPr>
          <w:rFonts w:ascii="Arial" w:cs="Arial" w:eastAsia="Arial" w:hAnsi="Arial"/>
          <w:sz w:val="18"/>
          <w:szCs w:val="18"/>
          <w:color w:val="auto"/>
        </w:rPr>
        <w:t>” shall be at the address of the Trustee specified in Section 13.01 hereof or such other address as to which the Trustee may give notice to the Holders and the Issuer.</w:t>
      </w:r>
    </w:p>
    <w:p>
      <w:pPr>
        <w:spacing w:after="0" w:line="17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Facilities</w:t>
      </w:r>
      <w:r>
        <w:rPr>
          <w:rFonts w:ascii="Arial" w:cs="Arial" w:eastAsia="Arial" w:hAnsi="Arial"/>
          <w:sz w:val="17"/>
          <w:szCs w:val="17"/>
          <w:color w:val="auto"/>
        </w:rPr>
        <w:t>” means, with respect to the Company or any of its Restricted Subsidiaries, one or more debt facilities, including the Senior Credit Facilities, or other financing arrangements (including, without limitation, commercial paper facilities or indentures) providing for revolving credit loans, term loans, letters of credit or other long-term indebtedness, including any notes, mortgages, guarantees, collateral documents, instruments and agreements executed in connection therewith, and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increase in borrowings is permitted under Section 4.09 hereof) or adds Restricted Subsidiaries as additional borrowers or guarantors thereunder and whether by the same or any other agent, lender or group of lenders.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49" w:name="page50"/>
    <w:bookmarkEnd w:id="4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Credit Facilities Obligations</w:t>
      </w:r>
      <w:r>
        <w:rPr>
          <w:rFonts w:ascii="Arial" w:cs="Arial" w:eastAsia="Arial" w:hAnsi="Arial"/>
          <w:sz w:val="18"/>
          <w:szCs w:val="18"/>
          <w:color w:val="auto"/>
        </w:rPr>
        <w:t>” means, with respect to any Person, the Obligations of such Person under any Credit Facilities.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Trustee, as custodian with respect to the Notes, each in global form, or any successor entity thereto.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w:t>
      </w:r>
      <w:r>
        <w:rPr>
          <w:rFonts w:ascii="Arial" w:cs="Arial" w:eastAsia="Arial" w:hAnsi="Arial"/>
          <w:sz w:val="18"/>
          <w:szCs w:val="18"/>
          <w:color w:val="auto"/>
        </w:rPr>
        <w:t>” means a certificated Note registered in the name of the Holder thereof and issued in accordance with Section 2.06(c) hereof, substantially in the form of Exhibit A hereto except that such Note shall not bear the Global Note Legend and shall not have the “Schedule of Exchanges of Interests in the Global Note” attached thereto.</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Notes issuable or issued in whole or in part in global form, any Person specified in Section 2.03 hereof as the Depositary with respect to the Notes, and any and all successors thereto appointed as Depositary hereunder and having become such pursuant to the applicable provision of this Indenture.</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means the fair market value of non-cash consideration received by the Company or a Restricted Subsidiary in connection with an Asset Sale that is so designated as Designated Non-cash Consideration pursuant to an Officer’s Certificate, setting forth the basis of such valuation, executed by the principal financial officer of the Company, less the amount of cash or Cash Equivalents received in connection with a subsequent sale of or collection on such Designated Non-cash Consideration.</w:t>
      </w:r>
    </w:p>
    <w:p>
      <w:pPr>
        <w:spacing w:after="0" w:line="187" w:lineRule="exact"/>
        <w:rPr>
          <w:sz w:val="20"/>
          <w:szCs w:val="20"/>
          <w:color w:val="auto"/>
        </w:rPr>
      </w:pPr>
    </w:p>
    <w:p>
      <w:pPr>
        <w:ind w:right="3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Preferred Stock</w:t>
      </w:r>
      <w:r>
        <w:rPr>
          <w:rFonts w:ascii="Arial" w:cs="Arial" w:eastAsia="Arial" w:hAnsi="Arial"/>
          <w:sz w:val="18"/>
          <w:szCs w:val="18"/>
          <w:color w:val="auto"/>
        </w:rPr>
        <w:t>” means Preferred Stock of the Company or any parent corporation thereof (in each case other than Disqualified Stock) that is issued for cash (other than to a Restricted Subsidiary or an employee stock ownership plan or trust established by the Company or any of its Subsidiaries) and is so designated as Designated Preferred Stock, pursuant to an Officer’s Certificate executed by the principal financial officer of the Company or the applicable parent corporation thereof, as the case may be, on the issuance date thereof, the cash proceeds of which are excluded from the calculation set forth in clause (3) of Section 4.07(a) hereof.</w:t>
      </w:r>
    </w:p>
    <w:p>
      <w:pPr>
        <w:spacing w:after="0" w:line="188"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Directing Agent</w:t>
      </w:r>
      <w:r>
        <w:rPr>
          <w:rFonts w:ascii="Arial" w:cs="Arial" w:eastAsia="Arial" w:hAnsi="Arial"/>
          <w:sz w:val="16"/>
          <w:szCs w:val="16"/>
          <w:color w:val="auto"/>
        </w:rPr>
        <w:t>” means Citibank, N.A. prior to the Merger Date, or Morgan Stanley Senior Funding, Inc., as of and after the Merger Date, as the agent for the Collateral Agent under the Senior Credit Facilities Documents, the Collateral Agent under the Collateral Documents relating to the Existing Secured Notes, the Collateral Agent and each additional Authorized Representative (as defined in the Intercreditor Agreement) from time to time party to the Intercreditor Agreement, and any successor thereof or replacement agent appointed in accordance with the terms of the Intercreditor Agreement.</w:t>
      </w:r>
    </w:p>
    <w:p>
      <w:pPr>
        <w:spacing w:after="0" w:line="154"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Stock</w:t>
      </w:r>
      <w:r>
        <w:rPr>
          <w:rFonts w:ascii="Arial" w:cs="Arial" w:eastAsia="Arial" w:hAnsi="Arial"/>
          <w:sz w:val="16"/>
          <w:szCs w:val="16"/>
          <w:color w:val="auto"/>
        </w:rPr>
        <w:t>”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Notes or the date the Notes are no longer outstanding; provided, that if such Capital Stock is issued to any plan for the benefit of employees of the Company or its Subsidiaries or by any such plan to such employees, such Capital Stock shall not constitute Disqualified Stock solely because it may be required to be repurchased by the Company or its Subsidiaries in order to satisfy applicable statutory or regulatory obligations.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50" w:name="page51"/>
    <w:bookmarkEnd w:id="50"/>
    <w:p>
      <w:pPr>
        <w:ind w:left="1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that is organized under the laws of the United States, any state thereof or the District of Columbia.</w:t>
      </w:r>
    </w:p>
    <w:p>
      <w:pPr>
        <w:spacing w:after="0" w:line="24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with respect to any Person for any period, the Consolidated Net Income of such Person for such period</w:t>
      </w:r>
    </w:p>
    <w:p>
      <w:pPr>
        <w:spacing w:after="0" w:line="117" w:lineRule="exact"/>
        <w:rPr>
          <w:sz w:val="20"/>
          <w:szCs w:val="20"/>
          <w:color w:val="auto"/>
        </w:rPr>
      </w:pPr>
    </w:p>
    <w:p>
      <w:pPr>
        <w:ind w:left="257" w:hanging="257"/>
        <w:spacing w:after="0"/>
        <w:tabs>
          <w:tab w:leader="none" w:pos="257"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increased (without duplication) by the following, in each case to the extent deducted in determining Consolidated Net Income for such period:</w:t>
      </w:r>
    </w:p>
    <w:p>
      <w:pPr>
        <w:spacing w:after="0" w:line="140" w:lineRule="exact"/>
        <w:rPr>
          <w:rFonts w:ascii="Arial" w:cs="Arial" w:eastAsia="Arial" w:hAnsi="Arial"/>
          <w:sz w:val="16"/>
          <w:szCs w:val="16"/>
          <w:color w:val="auto"/>
        </w:rPr>
      </w:pPr>
    </w:p>
    <w:p>
      <w:pPr>
        <w:ind w:left="17" w:right="180" w:firstLine="421"/>
        <w:spacing w:after="0" w:line="264" w:lineRule="auto"/>
        <w:tabs>
          <w:tab w:leader="none" w:pos="682" w:val="left"/>
        </w:tabs>
        <w:numPr>
          <w:ilvl w:val="1"/>
          <w:numId w:val="60"/>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capital, including, without limitation, state, franchise and similar taxes (such as the Pennsylvania capital tax and Texas margin tax) and foreign withholding taxes of such Person paid or accrued during such period deducted (and not added back) in computing Consolidated Net Income; plus</w:t>
      </w:r>
    </w:p>
    <w:p>
      <w:pPr>
        <w:spacing w:after="0" w:line="73" w:lineRule="exact"/>
        <w:rPr>
          <w:rFonts w:ascii="Arial" w:cs="Arial" w:eastAsia="Arial" w:hAnsi="Arial"/>
          <w:sz w:val="18"/>
          <w:szCs w:val="18"/>
          <w:color w:val="auto"/>
        </w:rPr>
      </w:pPr>
    </w:p>
    <w:p>
      <w:pPr>
        <w:ind w:left="17" w:right="60" w:firstLine="421"/>
        <w:spacing w:after="0" w:line="259" w:lineRule="auto"/>
        <w:tabs>
          <w:tab w:leader="none" w:pos="6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Fixed Charges of such Person for such period (including (x) net losses or Hedging Obligations or other derivative instruments entered into for the purpose of hedging interest rate risk, (y) bank fees and (z) costs of surety bonds in connection with financing activities, plus amounts excluded from Consolidated Interest Expense as set forth in clauses (1)(t) through (z) in the definition thereof) to the extent the same were deducted (and not added back) in calculating such Consolidated Net Income; plus</w:t>
      </w:r>
    </w:p>
    <w:p>
      <w:pPr>
        <w:spacing w:after="0" w:line="78" w:lineRule="exact"/>
        <w:rPr>
          <w:rFonts w:ascii="Arial" w:cs="Arial" w:eastAsia="Arial" w:hAnsi="Arial"/>
          <w:sz w:val="18"/>
          <w:szCs w:val="18"/>
          <w:color w:val="auto"/>
        </w:rPr>
      </w:pPr>
    </w:p>
    <w:p>
      <w:pPr>
        <w:ind w:left="17" w:right="340" w:firstLine="421"/>
        <w:spacing w:after="0" w:line="277" w:lineRule="auto"/>
        <w:tabs>
          <w:tab w:leader="none" w:pos="682"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Consolidated Depreciation and Amortization Expense of such Person for such period to the extent the same were deducted (and not added back) in computing Consolidated Net Income; plus</w:t>
      </w:r>
    </w:p>
    <w:p>
      <w:pPr>
        <w:spacing w:after="0" w:line="62" w:lineRule="exact"/>
        <w:rPr>
          <w:rFonts w:ascii="Arial" w:cs="Arial" w:eastAsia="Arial" w:hAnsi="Arial"/>
          <w:sz w:val="18"/>
          <w:szCs w:val="18"/>
          <w:color w:val="auto"/>
        </w:rPr>
      </w:pPr>
    </w:p>
    <w:p>
      <w:pPr>
        <w:ind w:left="17" w:right="60" w:firstLine="421"/>
        <w:spacing w:after="0" w:line="297" w:lineRule="auto"/>
        <w:tabs>
          <w:tab w:leader="none" w:pos="692"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expenses or charges (other than depreciation or amortization expense) related to any Equity Offering, Permitted Investment, acquisition, disposition, recapitalization or the incurrence of Indebtedness permitted to be incurred by this Indenture (including a refinancing thereof) (whether or not successful), including (i) such fees, expenses or charges related to the offering of the Notes, the Existing Secured Notes, the NXP Notes and the Credit Facilities and (ii) any amendment or other modification of the Notes, the Existing Secured Notes, the NXP Notes and the Credit Facilities and, in each case, deducted (and not added back) in computing Consolidated Net Income; plus</w:t>
      </w:r>
    </w:p>
    <w:p>
      <w:pPr>
        <w:spacing w:after="0" w:line="50" w:lineRule="exact"/>
        <w:rPr>
          <w:rFonts w:ascii="Arial" w:cs="Arial" w:eastAsia="Arial" w:hAnsi="Arial"/>
          <w:sz w:val="16"/>
          <w:szCs w:val="16"/>
          <w:color w:val="auto"/>
        </w:rPr>
      </w:pPr>
    </w:p>
    <w:p>
      <w:pPr>
        <w:ind w:left="17" w:right="60" w:firstLine="421"/>
        <w:spacing w:after="0" w:line="279" w:lineRule="auto"/>
        <w:tabs>
          <w:tab w:leader="none" w:pos="682"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amount of any restructuring charges, integration costs or other business optimization expenses (including cost and expenses relating to inventory optimization programs, wafer fabrication facility closures and new systems design and implementation costs) or reserves deducted (and not added back) in such period in computing Consolidated Net Income, including any one-time costs incurred in connection with acquisitions after the Measurement Date, and costs related to the closure and/or consolidation of facilities; plus</w:t>
      </w:r>
    </w:p>
    <w:p>
      <w:pPr>
        <w:spacing w:after="0" w:line="63" w:lineRule="exact"/>
        <w:rPr>
          <w:rFonts w:ascii="Arial" w:cs="Arial" w:eastAsia="Arial" w:hAnsi="Arial"/>
          <w:sz w:val="17"/>
          <w:szCs w:val="17"/>
          <w:color w:val="auto"/>
        </w:rPr>
      </w:pPr>
    </w:p>
    <w:p>
      <w:pPr>
        <w:ind w:left="17" w:right="20" w:firstLine="421"/>
        <w:spacing w:after="0" w:line="259" w:lineRule="auto"/>
        <w:tabs>
          <w:tab w:leader="none" w:pos="66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other non-cash charges, including any write offs or write downs reducing Consolidated Net Income for such period (provided that if any such non-cash charges represent an accrual or reserve for potential cash items in any future period, the cash payment in respect thereof in such future period shall be subtracted from EBITDA to such extent, and excluding amortization of a prepaid cash item that was paid in a prior period); plus</w:t>
      </w:r>
    </w:p>
    <w:p>
      <w:pPr>
        <w:spacing w:after="0" w:line="119"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97"/>
          </w:cols>
          <w:pgMar w:left="1143" w:top="274" w:right="259" w:bottom="1440" w:gutter="0" w:footer="0" w:header="0"/>
        </w:sectPr>
      </w:pPr>
    </w:p>
    <w:bookmarkStart w:id="51" w:name="page52"/>
    <w:bookmarkEnd w:id="51"/>
    <w:p>
      <w:pPr>
        <w:ind w:left="460" w:right="160" w:firstLine="421"/>
        <w:spacing w:after="0" w:line="308" w:lineRule="auto"/>
        <w:tabs>
          <w:tab w:leader="none" w:pos="1135" w:val="left"/>
        </w:tabs>
        <w:numPr>
          <w:ilvl w:val="2"/>
          <w:numId w:val="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any minority interest expense consisting of Subsidiary income attributable to minority equity interests of third parties in any non-Wholly Owned Subsidiary deducted (and not added back) in such period in calculating Consolidated Net Income; plus</w:t>
      </w:r>
    </w:p>
    <w:p>
      <w:pPr>
        <w:spacing w:after="0" w:line="38" w:lineRule="exact"/>
        <w:rPr>
          <w:rFonts w:ascii="Arial" w:cs="Arial" w:eastAsia="Arial" w:hAnsi="Arial"/>
          <w:sz w:val="17"/>
          <w:szCs w:val="17"/>
          <w:color w:val="auto"/>
        </w:rPr>
      </w:pPr>
    </w:p>
    <w:p>
      <w:pPr>
        <w:ind w:left="1140" w:hanging="259"/>
        <w:spacing w:after="0"/>
        <w:tabs>
          <w:tab w:leader="none" w:pos="1140" w:val="left"/>
        </w:tabs>
        <w:numPr>
          <w:ilvl w:val="2"/>
          <w:numId w:val="61"/>
        </w:numPr>
        <w:rPr>
          <w:rFonts w:ascii="Arial" w:cs="Arial" w:eastAsia="Arial" w:hAnsi="Arial"/>
          <w:sz w:val="18"/>
          <w:szCs w:val="18"/>
          <w:color w:val="auto"/>
        </w:rPr>
      </w:pPr>
      <w:r>
        <w:rPr>
          <w:rFonts w:ascii="Arial" w:cs="Arial" w:eastAsia="Arial" w:hAnsi="Arial"/>
          <w:sz w:val="18"/>
          <w:szCs w:val="18"/>
          <w:color w:val="auto"/>
        </w:rPr>
        <w:t>[intentionally omitted]; plus</w:t>
      </w:r>
    </w:p>
    <w:p>
      <w:pPr>
        <w:spacing w:after="0" w:line="117" w:lineRule="exact"/>
        <w:rPr>
          <w:rFonts w:ascii="Arial" w:cs="Arial" w:eastAsia="Arial" w:hAnsi="Arial"/>
          <w:sz w:val="18"/>
          <w:szCs w:val="18"/>
          <w:color w:val="auto"/>
        </w:rPr>
      </w:pPr>
    </w:p>
    <w:p>
      <w:pPr>
        <w:ind w:left="460" w:firstLine="421"/>
        <w:spacing w:after="0" w:line="293" w:lineRule="auto"/>
        <w:tabs>
          <w:tab w:leader="none" w:pos="1095" w:val="left"/>
        </w:tabs>
        <w:numPr>
          <w:ilvl w:val="2"/>
          <w:numId w:val="61"/>
        </w:numPr>
        <w:rPr>
          <w:rFonts w:ascii="Arial" w:cs="Arial" w:eastAsia="Arial" w:hAnsi="Arial"/>
          <w:sz w:val="16"/>
          <w:szCs w:val="16"/>
          <w:color w:val="auto"/>
        </w:rPr>
      </w:pPr>
      <w:r>
        <w:rPr>
          <w:rFonts w:ascii="Arial" w:cs="Arial" w:eastAsia="Arial" w:hAnsi="Arial"/>
          <w:sz w:val="16"/>
          <w:szCs w:val="16"/>
          <w:color w:val="auto"/>
        </w:rPr>
        <w:t>the amount of net cost savings projected by the Company in good faith to be realized as a result of specified actions taken or initiated during or prior to such period (calculated on a pro forma basis as though such cost savings had been realized on the first day of such period), net of the amount of actual benefits realized during such period from such actions; provided that (x) such cost savings are reasonably identifiable and factually supportable, (y) such actions are taken no later than 36 months after the Measurement Date and (z) the aggregate amount of cost savings added pursuant to this clause (i) shall not exceed $200 million for any four consecutive quarter period (which adjustments may be incremental to pro forma cost savings adjustments made pursuant to the definition of “Fixed Charge Coverage Ratio”); plus</w:t>
      </w:r>
    </w:p>
    <w:p>
      <w:pPr>
        <w:spacing w:after="0" w:line="56" w:lineRule="exact"/>
        <w:rPr>
          <w:rFonts w:ascii="Arial" w:cs="Arial" w:eastAsia="Arial" w:hAnsi="Arial"/>
          <w:sz w:val="16"/>
          <w:szCs w:val="16"/>
          <w:color w:val="auto"/>
        </w:rPr>
      </w:pPr>
    </w:p>
    <w:p>
      <w:pPr>
        <w:ind w:left="460" w:right="220" w:firstLine="421"/>
        <w:spacing w:after="0" w:line="277" w:lineRule="auto"/>
        <w:tabs>
          <w:tab w:leader="none" w:pos="1095" w:val="left"/>
        </w:tabs>
        <w:numPr>
          <w:ilvl w:val="2"/>
          <w:numId w:val="61"/>
        </w:numPr>
        <w:rPr>
          <w:rFonts w:ascii="Arial" w:cs="Arial" w:eastAsia="Arial" w:hAnsi="Arial"/>
          <w:sz w:val="18"/>
          <w:szCs w:val="18"/>
          <w:color w:val="auto"/>
        </w:rPr>
      </w:pPr>
      <w:r>
        <w:rPr>
          <w:rFonts w:ascii="Arial" w:cs="Arial" w:eastAsia="Arial" w:hAnsi="Arial"/>
          <w:sz w:val="18"/>
          <w:szCs w:val="18"/>
          <w:color w:val="auto"/>
        </w:rPr>
        <w:t xml:space="preserve">the amount of loss on sale of receivables, Securitization Assets and related assets to the Securitization Subsidiary in connection with a Qualified Securitization Facility;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jc w:val="both"/>
        <w:ind w:left="460" w:right="40" w:firstLine="421"/>
        <w:spacing w:after="0" w:line="286" w:lineRule="auto"/>
        <w:tabs>
          <w:tab w:leader="none" w:pos="1135" w:val="left"/>
        </w:tabs>
        <w:numPr>
          <w:ilvl w:val="2"/>
          <w:numId w:val="61"/>
        </w:numPr>
        <w:rPr>
          <w:rFonts w:ascii="Arial" w:cs="Arial" w:eastAsia="Arial" w:hAnsi="Arial"/>
          <w:sz w:val="16"/>
          <w:szCs w:val="16"/>
          <w:color w:val="auto"/>
        </w:rPr>
      </w:pPr>
      <w:r>
        <w:rPr>
          <w:rFonts w:ascii="Arial" w:cs="Arial" w:eastAsia="Arial" w:hAnsi="Arial"/>
          <w:sz w:val="16"/>
          <w:szCs w:val="16"/>
          <w:color w:val="auto"/>
        </w:rPr>
        <w:t>any costs or expense incurred by the Company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the Company or net cash proceeds of an issuance of Equity Interest of the Company (other than Disqualified Stock) solely to the extent that such net cash proceeds are excluded from the calculation set forth in clause</w:t>
      </w:r>
    </w:p>
    <w:p>
      <w:pPr>
        <w:spacing w:after="0" w:line="1" w:lineRule="exact"/>
        <w:rPr>
          <w:rFonts w:ascii="Arial" w:cs="Arial" w:eastAsia="Arial" w:hAnsi="Arial"/>
          <w:sz w:val="16"/>
          <w:szCs w:val="16"/>
          <w:color w:val="auto"/>
        </w:rPr>
      </w:pPr>
    </w:p>
    <w:p>
      <w:pPr>
        <w:ind w:left="720" w:hanging="259"/>
        <w:spacing w:after="0"/>
        <w:tabs>
          <w:tab w:leader="none" w:pos="7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of Section 4.07(a) hereof; plus</w:t>
      </w:r>
    </w:p>
    <w:p>
      <w:pPr>
        <w:spacing w:after="0" w:line="102" w:lineRule="exact"/>
        <w:rPr>
          <w:rFonts w:ascii="Arial" w:cs="Arial" w:eastAsia="Arial" w:hAnsi="Arial"/>
          <w:sz w:val="18"/>
          <w:szCs w:val="18"/>
          <w:color w:val="auto"/>
        </w:rPr>
      </w:pPr>
    </w:p>
    <w:p>
      <w:pPr>
        <w:ind w:left="460" w:right="340" w:firstLine="421"/>
        <w:spacing w:after="0" w:line="264" w:lineRule="auto"/>
        <w:tabs>
          <w:tab w:leader="none" w:pos="1095" w:val="left"/>
        </w:tabs>
        <w:numPr>
          <w:ilvl w:val="2"/>
          <w:numId w:val="62"/>
        </w:numPr>
        <w:rPr>
          <w:rFonts w:ascii="Arial" w:cs="Arial" w:eastAsia="Arial" w:hAnsi="Arial"/>
          <w:sz w:val="18"/>
          <w:szCs w:val="18"/>
          <w:color w:val="auto"/>
        </w:rPr>
      </w:pPr>
      <w:r>
        <w:rPr>
          <w:rFonts w:ascii="Arial" w:cs="Arial" w:eastAsia="Arial" w:hAnsi="Arial"/>
          <w:sz w:val="18"/>
          <w:szCs w:val="18"/>
          <w:color w:val="auto"/>
        </w:rPr>
        <w:t>cash receipts (or any netting arrangements resulting in reduced cash expenditures) not representing EBITDA or Net Income in any period to the extent non-cash gains relating to such income were deducted in the calculation of EBITDA pursuant to clause (2) below for any previous period and not added back; plus</w:t>
      </w:r>
    </w:p>
    <w:p>
      <w:pPr>
        <w:spacing w:after="0" w:line="73" w:lineRule="exact"/>
        <w:rPr>
          <w:rFonts w:ascii="Arial" w:cs="Arial" w:eastAsia="Arial" w:hAnsi="Arial"/>
          <w:sz w:val="18"/>
          <w:szCs w:val="18"/>
          <w:color w:val="auto"/>
        </w:rPr>
      </w:pPr>
    </w:p>
    <w:p>
      <w:pPr>
        <w:ind w:left="1180" w:hanging="299"/>
        <w:spacing w:after="0"/>
        <w:tabs>
          <w:tab w:leader="none" w:pos="11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any net loss from disposed or discontinued operations; plus</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interest income or investment earnings on retiree medical and intellectual property, royalty or license receivables; plus</w:t>
      </w:r>
    </w:p>
    <w:p>
      <w:pPr>
        <w:spacing w:after="0" w:line="117" w:lineRule="exact"/>
        <w:rPr>
          <w:rFonts w:ascii="Arial" w:cs="Arial" w:eastAsia="Arial" w:hAnsi="Arial"/>
          <w:sz w:val="18"/>
          <w:szCs w:val="18"/>
          <w:color w:val="auto"/>
        </w:rPr>
      </w:pPr>
    </w:p>
    <w:p>
      <w:pPr>
        <w:ind w:left="460" w:right="780" w:firstLine="421"/>
        <w:spacing w:after="0" w:line="277" w:lineRule="auto"/>
        <w:tabs>
          <w:tab w:leader="none" w:pos="1135" w:val="left"/>
        </w:tabs>
        <w:numPr>
          <w:ilvl w:val="2"/>
          <w:numId w:val="62"/>
        </w:numPr>
        <w:rPr>
          <w:rFonts w:ascii="Arial" w:cs="Arial" w:eastAsia="Arial" w:hAnsi="Arial"/>
          <w:sz w:val="18"/>
          <w:szCs w:val="18"/>
          <w:color w:val="auto"/>
        </w:rPr>
      </w:pPr>
      <w:r>
        <w:rPr>
          <w:rFonts w:ascii="Arial" w:cs="Arial" w:eastAsia="Arial" w:hAnsi="Arial"/>
          <w:sz w:val="18"/>
          <w:szCs w:val="18"/>
          <w:color w:val="auto"/>
        </w:rPr>
        <w:t>300 Millimeter R&amp;D Expenses to the extent that the amount of such 300 Millimeter R&amp;D Expenses could have been made as investments under clause (18) of the definition of “Permitted Investments”;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decreased by (without duplication) by the following, in each case to the extent included in determining Consolidated Net Income for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52" w:name="page53"/>
    <w:bookmarkEnd w:id="52"/>
    <w:p>
      <w:pPr>
        <w:jc w:val="both"/>
        <w:ind w:left="920" w:right="280" w:firstLine="421"/>
        <w:spacing w:after="0" w:line="312" w:lineRule="auto"/>
        <w:tabs>
          <w:tab w:leader="none" w:pos="1585" w:val="left"/>
        </w:tabs>
        <w:numPr>
          <w:ilvl w:val="1"/>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non-cash gains increasing Consolidated Net Income of such Person for such period, excluding any non-cash gains to the extent they represent the reversal of an accrual or reserve for a potential cash item that reduced EBITDA in any prior period and any non-cash gains with respect to cash actually received in a prior period so long as such cash did not increase EBITDA in such prior period; plus</w:t>
      </w:r>
    </w:p>
    <w:p>
      <w:pPr>
        <w:spacing w:after="0" w:line="38" w:lineRule="exact"/>
        <w:rPr>
          <w:rFonts w:ascii="Arial" w:cs="Arial" w:eastAsia="Arial" w:hAnsi="Arial"/>
          <w:sz w:val="16"/>
          <w:szCs w:val="16"/>
          <w:color w:val="auto"/>
        </w:rPr>
      </w:pPr>
    </w:p>
    <w:p>
      <w:pPr>
        <w:ind w:left="1600" w:hanging="259"/>
        <w:spacing w:after="0"/>
        <w:tabs>
          <w:tab w:leader="none" w:pos="16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net income from disposed or discontinued operations; and</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increased or decreased by (without duplication), as applicable, any adjustments resulting from the application of FASB Interpretation No. 45 (Guarantees).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means economic and monetary union as contemplated in the Treaty on European Union.</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Equalization Payment</w:t>
      </w:r>
      <w:r>
        <w:rPr>
          <w:rFonts w:ascii="Arial" w:cs="Arial" w:eastAsia="Arial" w:hAnsi="Arial"/>
          <w:sz w:val="18"/>
          <w:szCs w:val="18"/>
          <w:color w:val="auto"/>
        </w:rPr>
        <w:t>” means, with respect to any period for any 300 Millimeter Arrangement, the payment made by Holdings III or any of its Restricted Subsidiaries in respect of its applicable share, determined pursuant to the terms of such 300 Millimeter Arrangement, of the depreciation and amortization expenses or charges in respect of capital expenditures made with respect to such 300 Millimeter Arrangement for such period that are recorded as research and development expenses of, but do not otherwise constitute Consolidated Depreciation and Amortization Expense of, Holdings III and its Restricted Subsidiaries on a consolidated basis for such period.</w:t>
      </w:r>
    </w:p>
    <w:p>
      <w:pPr>
        <w:spacing w:after="0" w:line="188"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Offering</w:t>
      </w:r>
      <w:r>
        <w:rPr>
          <w:rFonts w:ascii="Arial" w:cs="Arial" w:eastAsia="Arial" w:hAnsi="Arial"/>
          <w:sz w:val="18"/>
          <w:szCs w:val="18"/>
          <w:color w:val="auto"/>
        </w:rPr>
        <w:t>” means any public or private sale of common stock or Preferred Stock of the Company or any of its direct or indirect parent companies (excluding Disqualified Stock), other than:</w:t>
      </w:r>
    </w:p>
    <w:p>
      <w:pPr>
        <w:spacing w:after="0" w:line="62" w:lineRule="exact"/>
        <w:rPr>
          <w:sz w:val="20"/>
          <w:szCs w:val="20"/>
          <w:color w:val="auto"/>
        </w:rPr>
      </w:pPr>
    </w:p>
    <w:p>
      <w:pPr>
        <w:ind w:left="1160" w:hanging="257"/>
        <w:spacing w:after="0"/>
        <w:tabs>
          <w:tab w:leader="none" w:pos="1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public offerings with respect to the Company’s or any direct or indirect parent company’s common stock registered on Form S-4 or Form S-8;</w:t>
      </w:r>
    </w:p>
    <w:p>
      <w:pPr>
        <w:spacing w:after="0" w:line="140" w:lineRule="exact"/>
        <w:rPr>
          <w:rFonts w:ascii="Arial" w:cs="Arial" w:eastAsia="Arial" w:hAnsi="Arial"/>
          <w:sz w:val="16"/>
          <w:szCs w:val="16"/>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issuances to any Subsidiary of the Company;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such public or private sale that constitutes an Excluded Contribution.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single currency of participating member states of the EMU.</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Euroclear S.A./N.V., as operator of the Euroclear system.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of the SEC promulgated thereunder.</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certain items of property, as provided in the Collateral Documents.</w:t>
      </w:r>
    </w:p>
    <w:p>
      <w:pPr>
        <w:spacing w:after="0" w:line="225" w:lineRule="exact"/>
        <w:rPr>
          <w:sz w:val="20"/>
          <w:szCs w:val="20"/>
          <w:color w:val="auto"/>
        </w:rPr>
      </w:pPr>
    </w:p>
    <w:p>
      <w:pPr>
        <w:ind w:left="900" w:right="1320" w:firstLine="18"/>
        <w:spacing w:after="0" w:line="3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Contribution</w:t>
      </w:r>
      <w:r>
        <w:rPr>
          <w:rFonts w:ascii="Arial" w:cs="Arial" w:eastAsia="Arial" w:hAnsi="Arial"/>
          <w:sz w:val="18"/>
          <w:szCs w:val="18"/>
          <w:color w:val="auto"/>
        </w:rPr>
        <w:t>” means net cash proceeds, marketable securities or Qualified Proceeds received by the Company from (1) contributions to its common equity capital, and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53" w:name="page54"/>
    <w:bookmarkEnd w:id="53"/>
    <w:p>
      <w:pPr>
        <w:ind w:left="460" w:firstLine="443"/>
        <w:spacing w:after="0" w:line="342" w:lineRule="auto"/>
        <w:tabs>
          <w:tab w:leader="none" w:pos="1153"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sale (other than to a Subsidiary of the Company or to any management equity plan or stock option plan or any other management or employee benefit plan or agreement of the Company) of Capital Stock (other than Disqualified Stock and Designated Preferred Stock) of the Company,</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each case designated as Excluded Contributions pursuant to an officer’s certificate executed by the principal financial officer of the Company on the date such capital contributions are made or the date such Capital Stock is sold, as the case may be, which are excluded from the calculation set forth in clause (3) of Section 4.07(a) 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Proceeds</w:t>
      </w:r>
      <w:r>
        <w:rPr>
          <w:rFonts w:ascii="Arial" w:cs="Arial" w:eastAsia="Arial" w:hAnsi="Arial"/>
          <w:sz w:val="18"/>
          <w:szCs w:val="18"/>
          <w:color w:val="auto"/>
        </w:rPr>
        <w:t>” has the meaning specified in the definition of “Net Proceeds.”</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Secured Notes</w:t>
      </w:r>
      <w:r>
        <w:rPr>
          <w:rFonts w:ascii="Arial" w:cs="Arial" w:eastAsia="Arial" w:hAnsi="Arial"/>
          <w:sz w:val="18"/>
          <w:szCs w:val="18"/>
          <w:color w:val="auto"/>
        </w:rPr>
        <w:t>” means the Issuer’s 6.00% Senior Secured Notes due 2022 issued pursuant to the Indenture dated as of November 1, 2013, among the Issuer, the Guarantors listed therein and Wells Fargo Bank, National Association, as Trustee.</w:t>
      </w:r>
    </w:p>
    <w:p>
      <w:pPr>
        <w:spacing w:after="0" w:line="28" w:lineRule="exact"/>
        <w:rPr>
          <w:sz w:val="20"/>
          <w:szCs w:val="20"/>
          <w:color w:val="auto"/>
        </w:rPr>
      </w:pPr>
    </w:p>
    <w:p>
      <w:pPr>
        <w:jc w:val="both"/>
        <w:ind w:right="440" w:firstLine="913"/>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Senior Notes</w:t>
      </w:r>
      <w:r>
        <w:rPr>
          <w:rFonts w:ascii="Arial" w:cs="Arial" w:eastAsia="Arial" w:hAnsi="Arial"/>
          <w:sz w:val="16"/>
          <w:szCs w:val="16"/>
          <w:color w:val="auto"/>
        </w:rPr>
        <w:t xml:space="preserve">” means (a) the Issuer’s Senior Floating Rate Notes due 2014, and the Issuer’s 8 </w:t>
      </w:r>
      <w:r>
        <w:rPr>
          <w:rFonts w:ascii="Arial" w:cs="Arial" w:eastAsia="Arial" w:hAnsi="Arial"/>
          <w:sz w:val="26"/>
          <w:szCs w:val="26"/>
          <w:color w:val="auto"/>
          <w:vertAlign w:val="superscript"/>
        </w:rPr>
        <w:t>7</w:t>
      </w:r>
      <w:r>
        <w:rPr>
          <w:rFonts w:ascii="Arial" w:cs="Arial" w:eastAsia="Arial" w:hAnsi="Arial"/>
          <w:sz w:val="16"/>
          <w:szCs w:val="16"/>
          <w:color w:val="auto"/>
        </w:rPr>
        <w:t>⁄</w:t>
      </w:r>
      <w:r>
        <w:rPr>
          <w:rFonts w:ascii="Arial" w:cs="Arial" w:eastAsia="Arial" w:hAnsi="Arial"/>
          <w:sz w:val="26"/>
          <w:szCs w:val="26"/>
          <w:color w:val="auto"/>
          <w:vertAlign w:val="subscript"/>
        </w:rPr>
        <w:t>8</w:t>
      </w:r>
      <w:r>
        <w:rPr>
          <w:rFonts w:ascii="Arial" w:cs="Arial" w:eastAsia="Arial" w:hAnsi="Arial"/>
          <w:sz w:val="16"/>
          <w:szCs w:val="16"/>
          <w:color w:val="auto"/>
        </w:rPr>
        <w:t>% Senior Notes due 2014 issued pursuant to the Indenture dated as of December 1, 2006, among the Issuer, the Guarantors listed therein and The Bank of New York Mellon, as Trustee,</w:t>
      </w:r>
    </w:p>
    <w:p>
      <w:pPr>
        <w:spacing w:after="0" w:line="2" w:lineRule="exact"/>
        <w:rPr>
          <w:sz w:val="20"/>
          <w:szCs w:val="20"/>
          <w:color w:val="auto"/>
        </w:rPr>
      </w:pPr>
    </w:p>
    <w:p>
      <w:pPr>
        <w:ind w:right="280" w:firstLine="8"/>
        <w:spacing w:after="0" w:line="302"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Issuer’s 103/4% Senior Notes due 2020 issued pursuant to the Indenture, dated as of September 30, 2010, among the Issuer, the Guarantors listed therein and The Bank of New York Mellon Trust Company, N.A., as Trustee, and (c) the Issuer’s 8.05% Senior Notes due 2020 issued pursuant to the Indenture, dated as of June 10, 2011, among the Issuer, the Guarantors listed therein and The Bank of New York Mellon Trust Company, N.A., as Trustee.</w:t>
      </w:r>
    </w:p>
    <w:p>
      <w:pPr>
        <w:spacing w:after="0" w:line="13" w:lineRule="exact"/>
        <w:rPr>
          <w:sz w:val="20"/>
          <w:szCs w:val="20"/>
          <w:color w:val="auto"/>
        </w:rPr>
      </w:pPr>
    </w:p>
    <w:p>
      <w:pPr>
        <w:ind w:right="80" w:firstLine="913"/>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Subordinated Notes</w:t>
      </w:r>
      <w:r>
        <w:rPr>
          <w:rFonts w:ascii="Arial" w:cs="Arial" w:eastAsia="Arial" w:hAnsi="Arial"/>
          <w:sz w:val="18"/>
          <w:szCs w:val="18"/>
          <w:color w:val="auto"/>
        </w:rPr>
        <w:t xml:space="preserve">” means the Issuer’s 10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Subordinated Notes due 2016 issued pursuant to the Indenture dated as of December 1, 2006, among the Issuer, the Guarantors listed therein and The Bank of New York Mellon as Trustee.</w:t>
      </w:r>
    </w:p>
    <w:p>
      <w:pPr>
        <w:spacing w:after="0" w:line="140"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“Existing Term Loan Facilities” means the term loan facilities dated as of March 4, 2011, as amended by (i) the joinder and amendment agreement dated as of November 18, 2011, (ii) the new term loan joinder agreement dated as of February 16, 2012, (iii) the new term loan joinder agreement dated as of December 10, 2012, (iv) the 2013 new term loan joinder agreement dated as of November 27, 2013 and (v) the 2014 new term loan joinder agreement dated as of February 18, 2014, by and among, the Company, NXP Funding LLC, the other Restricted Subsidiaries party thereto, the lenders party thereto in their capacities as lenders thereunder and the administrative agent named therein, including any guarantees, collateral documents, instruments and agreements executed in connection therewith, and any amendments, supplements, modifications, extensions, renewals, restatements, refundings or refinancings thereof and any indentures or credit facilities or commercial paper facilities with banks or other institutional lenders or investors that replace, refund or refinance any part of the loans, notes, other credit facilities or commitments thereunder, including any such replacement, refunding or refinancing facility or indenture that increases the amount borrowable thereunder or alters the maturity thereof (provided that such increase in borrowings is permitted under Section 4.09 hereof)</w:t>
      </w:r>
    </w:p>
    <w:p>
      <w:pPr>
        <w:spacing w:after="0" w:line="17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asset or liability, the fair market value of such asset or liability as determined by the Company in good faith; provided that if the fair market value is equal to or exceeds $100.0 million, such determination shall be made by the board of directors of the Company in good faith.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54" w:name="page55"/>
    <w:bookmarkEnd w:id="54"/>
    <w:p>
      <w:pPr>
        <w:ind w:right="1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First Lien</w:t>
      </w:r>
      <w:r>
        <w:rPr>
          <w:rFonts w:ascii="Arial" w:cs="Arial" w:eastAsia="Arial" w:hAnsi="Arial"/>
          <w:sz w:val="18"/>
          <w:szCs w:val="18"/>
          <w:color w:val="auto"/>
        </w:rPr>
        <w:t>” means the liens on the Collateral in favor of the Secured Parties under the Collateral Documents relating to the Notes and the other Secured Parties under the other Collateral Documents.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Debt Documents</w:t>
      </w:r>
      <w:r>
        <w:rPr>
          <w:rFonts w:ascii="Arial" w:cs="Arial" w:eastAsia="Arial" w:hAnsi="Arial"/>
          <w:sz w:val="17"/>
          <w:szCs w:val="17"/>
          <w:color w:val="auto"/>
        </w:rPr>
        <w:t>” means the Intercreditor Agreement, the Senior Credit Facilities Documents and any Additional First Lien Debt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Obligations</w:t>
      </w:r>
      <w:r>
        <w:rPr>
          <w:rFonts w:ascii="Arial" w:cs="Arial" w:eastAsia="Arial" w:hAnsi="Arial"/>
          <w:sz w:val="18"/>
          <w:szCs w:val="18"/>
          <w:color w:val="auto"/>
        </w:rPr>
        <w:t>” means the Senior Credit Agreement Obligations and any Additional First Lien Debt Obligations.</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means, with respect to any Person for any period, the ratio of EBITDA of such Person for such period to the Fixed Charges of such Person for such period. In the event that the Company or any Restricted Subsidiary incurs, assumes, guarantees, redeems, retires or extinguishes any Indebtedness (other than Indebtedness incurred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“Fixed Charge Coverage Ratio Calculation Date”), then the Fixed Charge Coverage Ratio shall be calculated giving pro forma effect to such incurrence, assumption, guarantee, redemption, retirement or extinguishment of Indebtedness, or such issuance or redemption of Disqualified Stock or Preferred Stock, as if the same had occurred at the beginning of the applicable four-quarter period.</w:t>
      </w:r>
    </w:p>
    <w:p>
      <w:pPr>
        <w:spacing w:after="0" w:line="179" w:lineRule="exact"/>
        <w:rPr>
          <w:sz w:val="20"/>
          <w:szCs w:val="20"/>
          <w:color w:val="auto"/>
        </w:rPr>
      </w:pPr>
    </w:p>
    <w:p>
      <w:pPr>
        <w:ind w:right="120" w:firstLine="913"/>
        <w:spacing w:after="0" w:line="288" w:lineRule="auto"/>
        <w:rPr>
          <w:sz w:val="20"/>
          <w:szCs w:val="20"/>
          <w:color w:val="auto"/>
        </w:rPr>
      </w:pPr>
      <w:r>
        <w:rPr>
          <w:rFonts w:ascii="Arial" w:cs="Arial" w:eastAsia="Arial" w:hAnsi="Arial"/>
          <w:sz w:val="16"/>
          <w:szCs w:val="16"/>
          <w:color w:val="auto"/>
        </w:rPr>
        <w:t>For purposes of making the computation referred to above, Investments, acquisitions, dispositions, mergers, amalgamations, consolidations and disposed operations (as determined in accordance with GAAP) that have been made by the Company or any of its Restricted Subsidiaries during the four-quarter reference period or subsequent to such reference period and on or prior to or simultaneously with the Fixed Charge Coverage Ratio Calculation Date shall be calculated on a pro forma basis assuming that all such Investments, acquisitions, dispositions, mergers, amalgamations, consolidations and disposed operations (and the change in any associated fixed charge obligations and the change in EBITDA resulting therefrom) had occurred on the first day of the four-quarter reference period. If since the beginning of such period any Person that subsequently became a Restricted Subsidiary or was merged with or into the Company or any of its Restricted Subsidiaries since the beginning of such period shall have made any Investment, acquisition, disposition, merger, amalgamation, consolidation or disposed operation that would have required adjustment pursuant to this definition, then the Fixed Charge Coverage Ratio shall be calculated giving pro forma effect thereto for such period as if such Investment, acquisition, disposition, merger, consolidation or disposed operation had occurred at the beginning of the applicable four-quarter period.</w:t>
      </w:r>
    </w:p>
    <w:p>
      <w:pPr>
        <w:spacing w:after="0" w:line="169"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For purposes of this definition, whenever pro forma effect is to be given to a transaction, Investment, acquisition, disposition, merger, amalgamation or consolidation (including the Transaction and the Merger) and the amount of income or earnings relating thereto, the pro forma calculations shall be made in good faith by a responsible financial or accounting officer of the Company (and may include, for the avoidance of doubt, cost savings and operating expense reductions resulting from such Investment, acquisition, merger, amalgamation or consolidation (including the Transaction and the Merger) which is being given pro forma effect that have been or are expected to be realized). If any Indebtedness bears a floating rate of interest and is being given pro forma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Company to be the rate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55" w:name="page56"/>
    <w:bookmarkEnd w:id="55"/>
    <w:p>
      <w:pPr>
        <w:ind w:right="2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Company may designate.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means, with respect to any Person for any period, the sum of, without duplication:</w:t>
      </w:r>
    </w:p>
    <w:p>
      <w:pPr>
        <w:spacing w:after="0" w:line="117"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117" w:lineRule="exact"/>
        <w:rPr>
          <w:rFonts w:ascii="Arial" w:cs="Arial" w:eastAsia="Arial" w:hAnsi="Arial"/>
          <w:sz w:val="18"/>
          <w:szCs w:val="18"/>
          <w:color w:val="auto"/>
        </w:rPr>
      </w:pPr>
    </w:p>
    <w:p>
      <w:pPr>
        <w:ind w:left="460" w:right="480" w:firstLine="443"/>
        <w:spacing w:after="0" w:line="277"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Preferred Stock during such period;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cash dividends or other distributions paid (excluding items eliminated in consolidation) on any series of Disqualified Stock during such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Acquisition Co.</w:t>
      </w:r>
      <w:r>
        <w:rPr>
          <w:rFonts w:ascii="Arial" w:cs="Arial" w:eastAsia="Arial" w:hAnsi="Arial"/>
          <w:sz w:val="16"/>
          <w:szCs w:val="16"/>
          <w:color w:val="auto"/>
        </w:rPr>
        <w:t>” means a direct Subsidiary of Holdings III or Holdings IV formed after the Issue Date as a holding company for the Transferred Foreign Subsidiaries and other Foreign Subsidiaries of Holdings III that are not Subsidiaries of Holdings V and (a) that provides a Guarantee and</w:t>
      </w:r>
    </w:p>
    <w:p>
      <w:pPr>
        <w:ind w:right="260" w:firstLine="8"/>
        <w:spacing w:after="0" w:line="254"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of whose stock shall be pledged by Holdings III or Holdings IV, as applicable, to secure the Obligations under this Indenture and the Notes, which Foreign Acquisition Co. shall be organized under the laws of Hungary, Luxembourg, The Netherlands, Iceland, Bermuda, Barbados, Mauritius, the British Virgin Islands, Malta, Cyprus or such other jurisdiction requested by Holdings III and reasonably acceptable to each administrative agent under the Senior Credit Facilities.</w:t>
      </w:r>
    </w:p>
    <w:p>
      <w:pPr>
        <w:spacing w:after="0" w:line="19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Reorganization</w:t>
      </w:r>
      <w:r>
        <w:rPr>
          <w:rFonts w:ascii="Arial" w:cs="Arial" w:eastAsia="Arial" w:hAnsi="Arial"/>
          <w:sz w:val="18"/>
          <w:szCs w:val="18"/>
          <w:color w:val="auto"/>
        </w:rPr>
        <w:t>” means the transfer of any Foreign Subsidiary of the Issuer or any transfer of any assets or property of any Foreign Subsidiary of the Issuer to Foreign Acquisition Co. or any Subsidiary thereof; provided that such transferred Foreign Subsidiary and any Person who holds such transferred assets or property (in each case, a “Transferred Foreign Subsidiary”) shall become a Guarantor of the Obligations under this Indenture and the Notes and Foreign Acquisition Co., shall pledge or cause to be pledged 100% of the Equity Interests of such Transferred Foreign Subsidiary to secure the Obligations under this Indenture and the Notes.</w:t>
      </w:r>
    </w:p>
    <w:p>
      <w:pPr>
        <w:spacing w:after="0" w:line="188"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Subsidiary</w:t>
      </w:r>
      <w:r>
        <w:rPr>
          <w:rFonts w:ascii="Arial" w:cs="Arial" w:eastAsia="Arial" w:hAnsi="Arial"/>
          <w:sz w:val="16"/>
          <w:szCs w:val="16"/>
          <w:color w:val="auto"/>
        </w:rPr>
        <w:t>” means, with respect to any Person, any Restricted Subsidiary of such Person that is not organized or existing under the laws of the United States, any state thereof, the District of Columbia, or any territory thereof and any Restricted Subsidiary of such Foreign Subsidiary.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which are in effect on the Transaction Date.</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 Legend</w:t>
      </w:r>
      <w:r>
        <w:rPr>
          <w:rFonts w:ascii="Arial" w:cs="Arial" w:eastAsia="Arial" w:hAnsi="Arial"/>
          <w:sz w:val="18"/>
          <w:szCs w:val="18"/>
          <w:color w:val="auto"/>
        </w:rPr>
        <w:t>” means the legend set forth in Section 2.06(f)(ii) hereof, which is required to be placed on all Global Notes issued under this Indenture.</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Notes</w:t>
      </w:r>
      <w:r>
        <w:rPr>
          <w:rFonts w:ascii="Arial" w:cs="Arial" w:eastAsia="Arial" w:hAnsi="Arial"/>
          <w:sz w:val="18"/>
          <w:szCs w:val="18"/>
          <w:color w:val="auto"/>
        </w:rPr>
        <w:t>” means, individually and collectively, each of the Restricted Global Notes and the Unrestricted Global Notes, substantially in the form of Exhibit A hereto, issued in accordance with Section 2.01, 2.06(b) or 2.06(d) 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Securities</w:t>
      </w:r>
      <w:r>
        <w:rPr>
          <w:rFonts w:ascii="Arial" w:cs="Arial" w:eastAsia="Arial" w:hAnsi="Arial"/>
          <w:sz w:val="18"/>
          <w:szCs w:val="18"/>
          <w:color w:val="auto"/>
        </w:rPr>
        <w:t>” means securities that are: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56" w:name="page57"/>
    <w:bookmarkEnd w:id="56"/>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 obligations of the United States of America for the timely payment of which its full faith and credit is pledged; or</w:t>
      </w:r>
    </w:p>
    <w:p>
      <w:pPr>
        <w:spacing w:after="0" w:line="117" w:lineRule="exact"/>
        <w:rPr>
          <w:rFonts w:ascii="Arial" w:cs="Arial" w:eastAsia="Arial" w:hAnsi="Arial"/>
          <w:sz w:val="18"/>
          <w:szCs w:val="18"/>
          <w:color w:val="auto"/>
        </w:rPr>
      </w:pPr>
    </w:p>
    <w:p>
      <w:pPr>
        <w:ind w:left="460" w:right="360" w:firstLine="443"/>
        <w:spacing w:after="0" w:line="308" w:lineRule="auto"/>
        <w:tabs>
          <w:tab w:leader="none" w:pos="1153" w:val="left"/>
        </w:tabs>
        <w:numPr>
          <w:ilvl w:val="0"/>
          <w:numId w:val="71"/>
        </w:numPr>
        <w:rPr>
          <w:rFonts w:ascii="Arial" w:cs="Arial" w:eastAsia="Arial" w:hAnsi="Arial"/>
          <w:sz w:val="17"/>
          <w:szCs w:val="17"/>
          <w:color w:val="auto"/>
        </w:rPr>
      </w:pPr>
      <w:r>
        <w:rPr>
          <w:rFonts w:ascii="Arial" w:cs="Arial" w:eastAsia="Arial" w:hAnsi="Arial"/>
          <w:sz w:val="17"/>
          <w:szCs w:val="17"/>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spacing w:after="0" w:line="193"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guarantee by any Guarantor of the Issuer’s Obligations under this Indenture and the Notes.</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the Parent Guarantors and each Subsidiary of the Company, if any, that Guarantees the Notes in accordance with the terms of this Indenture.</w:t>
      </w:r>
    </w:p>
    <w:p>
      <w:pPr>
        <w:spacing w:after="0" w:line="170"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 currency swap agreement or similar agreement providing for the transfer or mitigation of interest rate or currency risks either generally or under specific contingencies.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a Note is registered on the Registrar’s books.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I</w:t>
      </w:r>
      <w:r>
        <w:rPr>
          <w:rFonts w:ascii="Arial" w:cs="Arial" w:eastAsia="Arial" w:hAnsi="Arial"/>
          <w:sz w:val="18"/>
          <w:szCs w:val="18"/>
          <w:color w:val="auto"/>
        </w:rPr>
        <w:t>” means Freescale Semiconductor, Ltd., a Bermuda exempted limited liability company, and its 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II</w:t>
      </w:r>
      <w:r>
        <w:rPr>
          <w:rFonts w:ascii="Arial" w:cs="Arial" w:eastAsia="Arial" w:hAnsi="Arial"/>
          <w:sz w:val="18"/>
          <w:szCs w:val="18"/>
          <w:color w:val="auto"/>
        </w:rPr>
        <w:t>” means Freescale Semiconductor Holdings II, Ltd., a Bermuda exempted limited liability company, and its successors.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III</w:t>
      </w:r>
      <w:r>
        <w:rPr>
          <w:rFonts w:ascii="Arial" w:cs="Arial" w:eastAsia="Arial" w:hAnsi="Arial"/>
          <w:sz w:val="18"/>
          <w:szCs w:val="18"/>
          <w:color w:val="auto"/>
        </w:rPr>
        <w:t>” means Freescale Semiconductor Holdings III, Ltd., a Bermuda exempted limited liability company, and its 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 IV</w:t>
      </w:r>
      <w:r>
        <w:rPr>
          <w:rFonts w:ascii="Arial" w:cs="Arial" w:eastAsia="Arial" w:hAnsi="Arial"/>
          <w:sz w:val="17"/>
          <w:szCs w:val="17"/>
          <w:color w:val="auto"/>
        </w:rPr>
        <w:t>” means Freescale Semiconductor Holdings IV, Ltd., a Bermuda exempted limited liability company, and its successors.</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V</w:t>
      </w:r>
      <w:r>
        <w:rPr>
          <w:rFonts w:ascii="Arial" w:cs="Arial" w:eastAsia="Arial" w:hAnsi="Arial"/>
          <w:sz w:val="18"/>
          <w:szCs w:val="18"/>
          <w:color w:val="auto"/>
        </w:rPr>
        <w:t>” means Freescale Semiconductor Holdings V, Inc., a Delaware corporation.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without duplication: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57" w:name="page58"/>
    <w:bookmarkEnd w:id="57"/>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indebtedness (including principal and premium) of such Person, whether or not contingent:</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920" w:right="500" w:firstLine="421"/>
        <w:spacing w:after="0" w:line="277" w:lineRule="auto"/>
        <w:tabs>
          <w:tab w:leader="none" w:pos="1595"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bankers’ acceptances (or, without duplication, reimbursement agreements in respect thereof);</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representing the balance deferred and unpaid of the purchase price of any property (including Capitalized Lease Obligations), except</w:t>
      </w:r>
    </w:p>
    <w:p>
      <w:pPr>
        <w:spacing w:after="0" w:line="46" w:lineRule="exact"/>
        <w:rPr>
          <w:rFonts w:ascii="Arial" w:cs="Arial" w:eastAsia="Arial" w:hAnsi="Arial"/>
          <w:sz w:val="16"/>
          <w:szCs w:val="16"/>
          <w:color w:val="auto"/>
        </w:rPr>
      </w:pPr>
    </w:p>
    <w:p>
      <w:pPr>
        <w:ind w:left="920" w:right="80"/>
        <w:spacing w:after="0" w:line="277" w:lineRule="auto"/>
        <w:rPr>
          <w:rFonts w:ascii="Arial" w:cs="Arial" w:eastAsia="Arial" w:hAnsi="Arial"/>
          <w:sz w:val="16"/>
          <w:szCs w:val="16"/>
          <w:color w:val="auto"/>
        </w:rPr>
      </w:pPr>
      <w:r>
        <w:rPr>
          <w:rFonts w:ascii="Arial" w:cs="Arial" w:eastAsia="Arial" w:hAnsi="Arial"/>
          <w:sz w:val="17"/>
          <w:szCs w:val="17"/>
          <w:color w:val="auto"/>
        </w:rPr>
        <w:t>(i) any such balance that constitutes an obligation in respect of a commercial letter of credit, a trade payable or similar obligation to a trade creditor, in each case accrued in the ordinary course of business and (ii) any earn-out obligations until such obligation becomes a liability on the balance sheet of such Person in accordance with GAAP and if not paid after becoming due and payable;</w:t>
      </w:r>
    </w:p>
    <w:p>
      <w:pPr>
        <w:spacing w:after="0" w:line="65" w:lineRule="exact"/>
        <w:rPr>
          <w:rFonts w:ascii="Arial" w:cs="Arial" w:eastAsia="Arial" w:hAnsi="Arial"/>
          <w:sz w:val="16"/>
          <w:szCs w:val="16"/>
          <w:color w:val="auto"/>
        </w:rPr>
      </w:pPr>
    </w:p>
    <w:p>
      <w:pPr>
        <w:ind w:left="1600" w:hanging="259"/>
        <w:spacing w:after="0"/>
        <w:tabs>
          <w:tab w:leader="none" w:pos="16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representing any Hedging Obligations; or</w:t>
      </w:r>
    </w:p>
    <w:p>
      <w:pPr>
        <w:spacing w:after="0" w:line="117" w:lineRule="exact"/>
        <w:rPr>
          <w:rFonts w:ascii="Arial" w:cs="Arial" w:eastAsia="Arial" w:hAnsi="Arial"/>
          <w:sz w:val="18"/>
          <w:szCs w:val="18"/>
          <w:color w:val="auto"/>
        </w:rPr>
      </w:pPr>
    </w:p>
    <w:p>
      <w:pPr>
        <w:jc w:val="both"/>
        <w:ind w:left="920" w:right="320" w:firstLine="421"/>
        <w:spacing w:after="0" w:line="264" w:lineRule="auto"/>
        <w:tabs>
          <w:tab w:leader="none" w:pos="158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during a Suspension Period only, obligations of the lessee for rental payments in respect of Sale and Lease-Back Transactions in an amount equal to the present value of such obligations during the remaining term of the lease using a discount rate equal to the rate of interest implicit in such transaction determined in accordance with GAAP,</w:t>
      </w:r>
    </w:p>
    <w:p>
      <w:pPr>
        <w:spacing w:after="0" w:line="73"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if and to the extent that any of the foregoing Indebtedness (other than letters of credit and Hedging Obligations) would appear as a liability upon a balance sheet (excluding the footnotes thereto) of such Person prepared in accordance with GAAP; provided, that Indebtedness of any direct or indirect parent of the Company appearing upon the balance sheet of the Company solely by reason of push-down accounting under GAAP shall be excluded.</w:t>
      </w:r>
    </w:p>
    <w:p>
      <w:pPr>
        <w:spacing w:after="0" w:line="39" w:lineRule="exact"/>
        <w:rPr>
          <w:sz w:val="20"/>
          <w:szCs w:val="20"/>
          <w:color w:val="auto"/>
        </w:rPr>
      </w:pPr>
    </w:p>
    <w:p>
      <w:pPr>
        <w:ind w:left="460" w:right="340" w:firstLine="443"/>
        <w:spacing w:after="0" w:line="286" w:lineRule="auto"/>
        <w:tabs>
          <w:tab w:leader="none" w:pos="1153"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the extent not otherwise included, any obligation by such Person to be liable for, or to pay, as obligor, guarantor or otherwise, on the obligations of the type referred to in clause (1) of a third Person (whether or not such items would appear upon the balance sheet of such obligor or guarantor), other than by endorsement of negotiable instruments for collection in the ordinary course of business; and</w:t>
      </w:r>
    </w:p>
    <w:p>
      <w:pPr>
        <w:spacing w:after="0" w:line="57"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not otherwise included, the obligations of the type referred to in clause (1) of a third Person secured by a Lien on any asset owned by such first Person, whether or not such Indebtedness is assumed by such first Person;</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provided, that notwithstanding the foregoing, Indebtedness shall be deemed not to include (a) Contingent Obligations incurred in the ordinary course of business or (b) obligations under or in respect of Qualified Securitization Facilities.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Amended and Restated Indenture, as amended or supplemented from time to time.</w:t>
      </w:r>
    </w:p>
    <w:p>
      <w:pPr>
        <w:spacing w:after="0" w:line="225"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Financial Advisor</w:t>
      </w:r>
      <w:r>
        <w:rPr>
          <w:rFonts w:ascii="Arial" w:cs="Arial" w:eastAsia="Arial" w:hAnsi="Arial"/>
          <w:sz w:val="16"/>
          <w:szCs w:val="16"/>
          <w:color w:val="auto"/>
        </w:rPr>
        <w:t>” means an accounting, appraisal, investment banking firm or consultant to Persons engaged in Similar Businesses of nationally recognized standing that is, in the good faith judgment of the Company, qualified to perform the task for which it has been engaged.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58" w:name="page59"/>
    <w:bookmarkEnd w:id="5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means the intellectual property security agreement dated on or about the Issue Date, among the Issuer, Holdings V, SigmaTel, the subsidiaries of Holdings III from time to time party thereto and the Collateral Agent, as amended, supplemented, modified, extended, renewed or restated from time to time.</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xml:space="preserve">” means the collateral agency agreement dated September 29, 2006 among, </w:t>
      </w:r>
      <w:r>
        <w:rPr>
          <w:rFonts w:ascii="Arial" w:cs="Arial" w:eastAsia="Arial" w:hAnsi="Arial"/>
          <w:sz w:val="18"/>
          <w:szCs w:val="18"/>
          <w:i w:val="1"/>
          <w:iCs w:val="1"/>
          <w:color w:val="auto"/>
        </w:rPr>
        <w:t>inter alios</w:t>
      </w:r>
      <w:r>
        <w:rPr>
          <w:rFonts w:ascii="Arial" w:cs="Arial" w:eastAsia="Arial" w:hAnsi="Arial"/>
          <w:sz w:val="18"/>
          <w:szCs w:val="18"/>
          <w:color w:val="auto"/>
        </w:rPr>
        <w:t>, the Company, the Guarantors listed therein, the secured parties listed therein and Morgan Stanley Senior Funding, Inc., as amended, supplemented, modified, extended, renewed or restated from time to time.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Notes</w:t>
      </w:r>
      <w:r>
        <w:rPr>
          <w:rFonts w:ascii="Arial" w:cs="Arial" w:eastAsia="Arial" w:hAnsi="Arial"/>
          <w:sz w:val="18"/>
          <w:szCs w:val="18"/>
          <w:color w:val="auto"/>
        </w:rPr>
        <w:t>” as defined in the recitals hereto.</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means Credit Suisse Securities (USA) LLC, Barclays Capital Inc., Citigroup Global Markets Inc., Deutsche Bank Securities Inc., Goldman, Sachs &amp; Co. and J.P. Morgan Securities LLC.</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May 15 and November 15 of each year to stated maturity.</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rating equal to or higher than Baa3 (or the equivalent) by Moody’s and BBB- (or the equivalent) by S&amp;P, or an equivalent rating by any other Rating Agency.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Securities</w:t>
      </w:r>
      <w:r>
        <w:rPr>
          <w:rFonts w:ascii="Arial" w:cs="Arial" w:eastAsia="Arial" w:hAnsi="Arial"/>
          <w:sz w:val="18"/>
          <w:szCs w:val="18"/>
          <w:color w:val="auto"/>
        </w:rPr>
        <w:t>” means:</w:t>
      </w:r>
    </w:p>
    <w:p>
      <w:pPr>
        <w:spacing w:after="0" w:line="117" w:lineRule="exact"/>
        <w:rPr>
          <w:sz w:val="20"/>
          <w:szCs w:val="20"/>
          <w:color w:val="auto"/>
        </w:rPr>
      </w:pPr>
    </w:p>
    <w:p>
      <w:pPr>
        <w:ind w:left="460" w:right="140" w:firstLine="443"/>
        <w:spacing w:after="0" w:line="277" w:lineRule="auto"/>
        <w:tabs>
          <w:tab w:leader="none" w:pos="11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instruments constituting loans or advances among the Company and its Subsidiaries;</w:t>
      </w:r>
    </w:p>
    <w:p>
      <w:pPr>
        <w:spacing w:after="0" w:line="62" w:lineRule="exact"/>
        <w:rPr>
          <w:rFonts w:ascii="Arial" w:cs="Arial" w:eastAsia="Arial" w:hAnsi="Arial"/>
          <w:sz w:val="18"/>
          <w:szCs w:val="18"/>
          <w:color w:val="auto"/>
        </w:rPr>
      </w:pPr>
    </w:p>
    <w:p>
      <w:pPr>
        <w:ind w:left="460" w:right="660" w:firstLine="443"/>
        <w:spacing w:after="0" w:line="277" w:lineRule="auto"/>
        <w:tabs>
          <w:tab w:leader="none" w:pos="11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investments in any fund that invests exclusively in investments of the type described in clauses (1) and (2) which fund may also hold immaterial amounts of cash pending investment or distribution;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corresponding instruments in countries other than the United States customarily utilized for high quality investments.</w:t>
      </w:r>
    </w:p>
    <w:p>
      <w:pPr>
        <w:spacing w:after="0" w:line="225"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Investments</w:t>
      </w:r>
      <w:r>
        <w:rPr>
          <w:rFonts w:ascii="Arial" w:cs="Arial" w:eastAsia="Arial" w:hAnsi="Arial"/>
          <w:sz w:val="17"/>
          <w:szCs w:val="17"/>
          <w:color w:val="auto"/>
        </w:rPr>
        <w:t>” means,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the Company in the same manner as the other investments included in this definition to the extent such transactions involve the transfer of cash or other property. For purposes of the definition of “Unrestricted Subsidiary” and Section 4.07 hereof: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59" w:name="page60"/>
    <w:bookmarkEnd w:id="59"/>
    <w:p>
      <w:pPr>
        <w:jc w:val="both"/>
        <w:ind w:left="460" w:firstLine="443"/>
        <w:spacing w:after="0" w:line="259" w:lineRule="auto"/>
        <w:tabs>
          <w:tab w:leader="none" w:pos="1153"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shall include the portion (proportionate to the Company’s equity interest in such Subsidiary) of the fair market value of the net assets of a Subsidiary of the Company at the time that such Subsidiary is designated an Unrestricted Subsidiary; provided, that upon a redesignation of such Subsidiary as a Restricted Subsidiary, the Company shall be deemed to continue to have a permanent “Investment” in an Unrestricted Subsidiary in an amount (if positive) equal to:</w:t>
      </w:r>
    </w:p>
    <w:p>
      <w:pPr>
        <w:spacing w:after="0" w:line="78" w:lineRule="exact"/>
        <w:rPr>
          <w:rFonts w:ascii="Arial" w:cs="Arial" w:eastAsia="Arial" w:hAnsi="Arial"/>
          <w:sz w:val="18"/>
          <w:szCs w:val="18"/>
          <w:color w:val="auto"/>
        </w:rPr>
      </w:pPr>
    </w:p>
    <w:p>
      <w:pPr>
        <w:ind w:left="1580" w:hanging="239"/>
        <w:spacing w:after="0"/>
        <w:tabs>
          <w:tab w:leader="none" w:pos="15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Company’s “Investment” in such Subsidiary at the time of such redesignation; less</w:t>
      </w:r>
    </w:p>
    <w:p>
      <w:pPr>
        <w:spacing w:after="0" w:line="117" w:lineRule="exact"/>
        <w:rPr>
          <w:rFonts w:ascii="Arial" w:cs="Arial" w:eastAsia="Arial" w:hAnsi="Arial"/>
          <w:sz w:val="18"/>
          <w:szCs w:val="18"/>
          <w:color w:val="auto"/>
        </w:rPr>
      </w:pPr>
    </w:p>
    <w:p>
      <w:pPr>
        <w:ind w:left="920" w:right="520" w:firstLine="421"/>
        <w:spacing w:after="0" w:line="277" w:lineRule="auto"/>
        <w:tabs>
          <w:tab w:leader="none" w:pos="1595"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portion (proportionate to the Company’s Equity Interest in such Subsidiary) of the fair market value of the net assets of such Subsidiary at the time of such redesignation;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property transferred to or from an Unrestricted Subsidiary shall be valued at its fair market value at the time of such transfer.</w:t>
      </w:r>
    </w:p>
    <w:p>
      <w:pPr>
        <w:spacing w:after="0" w:line="23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amount of any Investment outstanding at any time shall be the original cost of such Investment, reduced by any dividend, distribution, interest payment, return of capital, repayment or other amount received in cash by the Company or a Restricted Subsidiary in respect of such Investment.</w:t>
      </w:r>
    </w:p>
    <w:p>
      <w:pPr>
        <w:spacing w:after="0" w:line="14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The Blackstone Group, The Carlyle Group, Permira funds advised by Permira Advisers LLC, Texas Pacific Group and, if applicable, each of their respective Affiliates and funds or partnerships managed by any of them or their respective Affiliates but not including, however, any portfolio companies of any of the foregoing.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May 21, 2013.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means Freescale Semiconductor, Inc., a Delaware corporation (and not any of its Subsidiaries), and its successors.</w:t>
      </w:r>
    </w:p>
    <w:p>
      <w:pPr>
        <w:spacing w:after="0" w:line="225"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Order</w:t>
      </w:r>
      <w:r>
        <w:rPr>
          <w:rFonts w:ascii="Arial" w:cs="Arial" w:eastAsia="Arial" w:hAnsi="Arial"/>
          <w:sz w:val="17"/>
          <w:szCs w:val="17"/>
          <w:color w:val="auto"/>
        </w:rPr>
        <w:t>” means a written request or order signed on behalf of the Issuer by an Officer of the Issuer, who must be the principal executive officer, the principal financial officer, the treasurer or the principal accounting officer of the Issuer, and delivered to the Trustee.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Legal Holiday</w:t>
      </w:r>
      <w:r>
        <w:rPr>
          <w:rFonts w:ascii="Arial" w:cs="Arial" w:eastAsia="Arial" w:hAnsi="Arial"/>
          <w:sz w:val="16"/>
          <w:szCs w:val="16"/>
          <w:color w:val="auto"/>
        </w:rPr>
        <w:t>” means a Saturday, a Sunday or a day on which commercial banking institutions are not required to be open in the State of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provided that in no event shall an operating lease be deemed to constitute a Lien.</w:t>
      </w:r>
    </w:p>
    <w:p>
      <w:pPr>
        <w:spacing w:after="0" w:line="18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Domestic Subsidiary</w:t>
      </w:r>
      <w:r>
        <w:rPr>
          <w:rFonts w:ascii="Arial" w:cs="Arial" w:eastAsia="Arial" w:hAnsi="Arial"/>
          <w:sz w:val="18"/>
          <w:szCs w:val="18"/>
          <w:color w:val="auto"/>
        </w:rPr>
        <w:t>” means, at any date of determination, each of the Company’s Domestic Subsidiaries other than Holdings V and the Issuer (a) whose total assets at the last day of the most recent test period were equal to or greater than 5% of at such date or (b) whose gross revenues for such test period were equal to or greater than 5% of the consolidated gross revenues of the Company and the Restricted Subsidiaries for such period, determined in accordance with GAAP.</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4" w:right="339" w:bottom="1440" w:gutter="0" w:footer="0" w:header="0"/>
        </w:sectPr>
      </w:pPr>
    </w:p>
    <w:bookmarkStart w:id="60" w:name="page61"/>
    <w:bookmarkEnd w:id="60"/>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Material Foreign Subsidiary</w:t>
      </w:r>
      <w:r>
        <w:rPr>
          <w:rFonts w:ascii="Arial" w:cs="Arial" w:eastAsia="Arial" w:hAnsi="Arial"/>
          <w:sz w:val="17"/>
          <w:szCs w:val="17"/>
          <w:color w:val="auto"/>
        </w:rPr>
        <w:t>” means, at any date of determination, each of the Company’s Foreign Subsidiaries other than Holdings IV</w:t>
      </w:r>
    </w:p>
    <w:p>
      <w:pPr>
        <w:spacing w:after="0" w:line="35" w:lineRule="exact"/>
        <w:rPr>
          <w:sz w:val="20"/>
          <w:szCs w:val="20"/>
          <w:color w:val="auto"/>
        </w:rPr>
      </w:pPr>
    </w:p>
    <w:p>
      <w:pPr>
        <w:ind w:firstLine="8"/>
        <w:spacing w:after="0" w:line="255" w:lineRule="auto"/>
        <w:tabs>
          <w:tab w:leader="none" w:pos="2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whose total assets at the last day of the most recent test period were equal to or greater than 5% of the Total Assets of the Company and the Restricted Subsidiaries at such date or (b) whose gross revenues for such test period were equal to or greater than 5% of the consolidated gross revenues of the Company and the Restricted Subsidiaries for such period, in each case determined in accordance with GAAP.</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Real Property</w:t>
      </w:r>
      <w:r>
        <w:rPr>
          <w:rFonts w:ascii="Arial" w:cs="Arial" w:eastAsia="Arial" w:hAnsi="Arial"/>
          <w:sz w:val="16"/>
          <w:szCs w:val="16"/>
          <w:color w:val="auto"/>
        </w:rPr>
        <w:t>” means any real property owned by the Issuer or any Secured Guarantor with a book value in excess of $25,000,000.</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Date</w:t>
      </w:r>
      <w:r>
        <w:rPr>
          <w:rFonts w:ascii="Arial" w:cs="Arial" w:eastAsia="Arial" w:hAnsi="Arial"/>
          <w:sz w:val="18"/>
          <w:szCs w:val="18"/>
          <w:color w:val="auto"/>
        </w:rPr>
        <w:t>” means September 30, 2010.</w:t>
      </w:r>
    </w:p>
    <w:p>
      <w:pPr>
        <w:spacing w:after="0" w:line="225"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means the merger of Nimble Acquisition Limited, a Bermuda exempted limited liability company, and Holdings I pursuant to the Merger Agreement.</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the merger agreement in relation to the Merger between NXP Holdings, Nimble Acquisition Limited, a Bermuda exempted limited liability company, and Holdings I dated March 1, 2015.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Date</w:t>
      </w:r>
      <w:r>
        <w:rPr>
          <w:rFonts w:ascii="Arial" w:cs="Arial" w:eastAsia="Arial" w:hAnsi="Arial"/>
          <w:sz w:val="18"/>
          <w:szCs w:val="18"/>
          <w:color w:val="auto"/>
        </w:rPr>
        <w:t>” means the date the Merger closes in accordance with the Merger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collectively, the deeds of trust, trust deeds, hypothecs and mortgages made by the Secured Guarantors in favor or for the benefit of the Collateral Agent on behalf of the Secured Parties under the Collateral Documents relating to the Notes in form and substance reasonably satisfactory to the Collateral Agent and Trustee, and any other mortgages executed and delivered pursuant to this Indenture, as amended, supplemented, modified, extended, renewed or restated from time to time.</w:t>
      </w:r>
    </w:p>
    <w:p>
      <w:pPr>
        <w:spacing w:after="0" w:line="18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means, with respect to any Person, the net income (loss) of such Person, determined in accordance with GAAP and before any reduction in respect of Preferred Stock dividends.</w:t>
      </w:r>
    </w:p>
    <w:p>
      <w:pPr>
        <w:spacing w:after="0" w:line="170"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Proceeds</w:t>
      </w:r>
      <w:r>
        <w:rPr>
          <w:rFonts w:ascii="Arial" w:cs="Arial" w:eastAsia="Arial" w:hAnsi="Arial"/>
          <w:sz w:val="17"/>
          <w:szCs w:val="17"/>
          <w:color w:val="auto"/>
        </w:rPr>
        <w:t>” means the aggregate cash proceeds received by the Company or any of its Restricted Subsidiaries in respect of any Asset Sale, including any cash received upon the sale or other disposition of any Designated Non-cash Consideration received in any Asset Sale, net of the direct costs relating to such Asset Sale and the sale or disposition of such Designated Non-cash Consideration, including legal, accounting and investment banking fees, and brokerage and sales commissions, any relocation expenses incurred as a result thereof, taxes paid or payable as a result thereof (after taking into account any available tax credits or deductions and any tax sharing arrangements), amounts required to be applied to the repayment of principal, premium, if any, and interest on Senior Indebtedness required (other than required by clause (1) of Section 4.10(b) hereof) to be paid as a result of such transaction and any deduction of appropriate amounts to be provided by the Company or any of its Restricted Subsidiaries as a reserve in accordance with GAAP against any liabilities associated with the asset disposed of in such transaction and retained by the Company or any of its Restricted Subsidiaries after such sale or other disposition thereof, including pension and other post-employment benefit liabilities and liabilities related to environmental matters or against any indemnification obligations associated with such transaction; provided that net proceeds in an aggregate amount of up to $500,000,000 (the “Excluded Proceeds”) shall not constitute Net Proceeds so long as such net proceeds are, within 60 days following receipt thereof, applied to repay the NXP Notes or other unsecured Indebtedness in respect of borrowed money, or Refinancing Indebtedness of any of the foregoing (and to correspondingly reduce commitments with respect thereto) (provided that to the extent not so applied within such period, such net proceeds shall constitute Net Proceeds for all purposes 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61" w:name="page62"/>
    <w:bookmarkEnd w:id="6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Notes</w:t>
      </w:r>
      <w:r>
        <w:rPr>
          <w:rFonts w:ascii="Arial" w:cs="Arial" w:eastAsia="Arial" w:hAnsi="Arial"/>
          <w:sz w:val="17"/>
          <w:szCs w:val="17"/>
          <w:color w:val="auto"/>
        </w:rPr>
        <w:t>” means the Initial Notes and more particularly means any Note authenticated and delivered under this Indenture. For all purposes of this Indenture, the term “Notes” shall also include any Additional Notes that may be issued under a supplemental indenture. For purposes of this Indenture, all references to Notes to be issued or authenticated upon transfer, replacement or exchange shall be deemed to refer to Notes.</w:t>
      </w:r>
    </w:p>
    <w:p>
      <w:pPr>
        <w:spacing w:after="0" w:line="166"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February 2013 Indenture</w:t>
      </w:r>
      <w:r>
        <w:rPr>
          <w:rFonts w:ascii="Arial" w:cs="Arial" w:eastAsia="Arial" w:hAnsi="Arial"/>
          <w:sz w:val="18"/>
          <w:szCs w:val="18"/>
          <w:color w:val="auto"/>
        </w:rPr>
        <w:t>” means the indenture dated February 14, 2013, among, inter alios, the Company, the NXP Notes Co-Issuer, the guarantors listed therein and Deutsche Bank Trust Company Americas, as trustee, as amended from time to time.</w:t>
      </w:r>
    </w:p>
    <w:p>
      <w:pPr>
        <w:spacing w:after="0" w:line="17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February 2013 Notes</w:t>
      </w:r>
      <w:r>
        <w:rPr>
          <w:rFonts w:ascii="Arial" w:cs="Arial" w:eastAsia="Arial" w:hAnsi="Arial"/>
          <w:sz w:val="18"/>
          <w:szCs w:val="18"/>
          <w:color w:val="auto"/>
        </w:rPr>
        <w:t>” means the $500 million in aggregate principal amount of 5.75% senior unsecured notes due 2021 issued by the Company and the NXP Notes Co-Issuer on February 14, 2013 pursuant to the NXP February 2013 Indenture.</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Holdings</w:t>
      </w:r>
      <w:r>
        <w:rPr>
          <w:rFonts w:ascii="Arial" w:cs="Arial" w:eastAsia="Arial" w:hAnsi="Arial"/>
          <w:sz w:val="18"/>
          <w:szCs w:val="18"/>
          <w:color w:val="auto"/>
        </w:rPr>
        <w:t>” means NXP Semiconductors N.V., a public company with limited liability incorporated under the laws of The Netherlands, and its successors.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Indentures</w:t>
      </w:r>
      <w:r>
        <w:rPr>
          <w:rFonts w:ascii="Arial" w:cs="Arial" w:eastAsia="Arial" w:hAnsi="Arial"/>
          <w:sz w:val="18"/>
          <w:szCs w:val="18"/>
          <w:color w:val="auto"/>
        </w:rPr>
        <w:t>” means, collectively, the NXP February 2013 Indenture, the NXP March 2013 Indenture, the NXP May 2013 Indenture and the NXP September 2013 Indenture.</w:t>
      </w:r>
    </w:p>
    <w:p>
      <w:pPr>
        <w:spacing w:after="0" w:line="170"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March 2013 Indenture</w:t>
      </w:r>
      <w:r>
        <w:rPr>
          <w:rFonts w:ascii="Arial" w:cs="Arial" w:eastAsia="Arial" w:hAnsi="Arial"/>
          <w:sz w:val="18"/>
          <w:szCs w:val="18"/>
          <w:color w:val="auto"/>
        </w:rPr>
        <w:t>” means the indenture dated March 12, 2013, among, inter alios, the Company, the NXP Notes Co-Issuer, the guarantors listed therein and Deutsche Bank Trust Company Americas, as trustee, as amended from time to time.</w:t>
      </w:r>
    </w:p>
    <w:p>
      <w:pPr>
        <w:spacing w:after="0" w:line="170"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March 2013 Notes</w:t>
      </w:r>
      <w:r>
        <w:rPr>
          <w:rFonts w:ascii="Arial" w:cs="Arial" w:eastAsia="Arial" w:hAnsi="Arial"/>
          <w:sz w:val="18"/>
          <w:szCs w:val="18"/>
          <w:color w:val="auto"/>
        </w:rPr>
        <w:t>” means the $500 million in aggregate principal amount of 5.75% senior unsecured notes due 2023 issued by the Company and the NXP Notes Co-Issuer on March 12, 2013 pursuant to the NXP March 2013 Indenture.</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May 2013 Indenture</w:t>
      </w:r>
      <w:r>
        <w:rPr>
          <w:rFonts w:ascii="Arial" w:cs="Arial" w:eastAsia="Arial" w:hAnsi="Arial"/>
          <w:sz w:val="18"/>
          <w:szCs w:val="18"/>
          <w:color w:val="auto"/>
        </w:rPr>
        <w:t>” means the indenture dated May 20, 2013, among, inter alios, the Company, the NXP Notes Co-Issuer, the guarantors listed therein and Deutsche Bank Trust Company Americas, as trustee, as amended from time to time.</w:t>
      </w:r>
    </w:p>
    <w:p>
      <w:pPr>
        <w:spacing w:after="0" w:line="170"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May 2013 Notes</w:t>
      </w:r>
      <w:r>
        <w:rPr>
          <w:rFonts w:ascii="Arial" w:cs="Arial" w:eastAsia="Arial" w:hAnsi="Arial"/>
          <w:sz w:val="18"/>
          <w:szCs w:val="18"/>
          <w:color w:val="auto"/>
        </w:rPr>
        <w:t>” means the $750 million in aggregate principal amount of 3.75% senior unsecured notes due 2018 issued by the Company and the NXP Notes Co-Issuer on May 20, 2013 pursuant to the NXP May 2013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Measurement Date</w:t>
      </w:r>
      <w:r>
        <w:rPr>
          <w:rFonts w:ascii="Arial" w:cs="Arial" w:eastAsia="Arial" w:hAnsi="Arial"/>
          <w:sz w:val="18"/>
          <w:szCs w:val="18"/>
          <w:color w:val="auto"/>
        </w:rPr>
        <w:t>” means January 1, 2013.</w:t>
      </w:r>
    </w:p>
    <w:p>
      <w:pPr>
        <w:spacing w:after="0" w:line="225" w:lineRule="exact"/>
        <w:rPr>
          <w:sz w:val="20"/>
          <w:szCs w:val="20"/>
          <w:color w:val="auto"/>
        </w:rPr>
      </w:pPr>
    </w:p>
    <w:p>
      <w:pPr>
        <w:ind w:right="7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Notes</w:t>
      </w:r>
      <w:r>
        <w:rPr>
          <w:rFonts w:ascii="Arial" w:cs="Arial" w:eastAsia="Arial" w:hAnsi="Arial"/>
          <w:sz w:val="18"/>
          <w:szCs w:val="18"/>
          <w:color w:val="auto"/>
        </w:rPr>
        <w:t>” means, collectively, the NXP February 2013 Notes, the NXP March 2013 Notes, the NXP May 2013 Notes and the NXP September 2013 Notes.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NXP Notes Co-Issuer</w:t>
      </w:r>
      <w:r>
        <w:rPr>
          <w:rFonts w:ascii="Arial" w:cs="Arial" w:eastAsia="Arial" w:hAnsi="Arial"/>
          <w:sz w:val="16"/>
          <w:szCs w:val="16"/>
          <w:color w:val="auto"/>
        </w:rPr>
        <w:t>” means NXP Funding LLC, a company with limited liability incoporated under the laws of Delaware, and its successors.</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Original Issue Date</w:t>
      </w:r>
      <w:r>
        <w:rPr>
          <w:rFonts w:ascii="Arial" w:cs="Arial" w:eastAsia="Arial" w:hAnsi="Arial"/>
          <w:sz w:val="18"/>
          <w:szCs w:val="18"/>
          <w:color w:val="auto"/>
        </w:rPr>
        <w:t>” means October 12, 2006.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62" w:name="page63"/>
    <w:bookmarkEnd w:id="62"/>
    <w:p>
      <w:pPr>
        <w:ind w:right="1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NXP September 2013 Indenture</w:t>
      </w:r>
      <w:r>
        <w:rPr>
          <w:rFonts w:ascii="Arial" w:cs="Arial" w:eastAsia="Arial" w:hAnsi="Arial"/>
          <w:sz w:val="18"/>
          <w:szCs w:val="18"/>
          <w:color w:val="auto"/>
        </w:rPr>
        <w:t>” means the indenture dated September 24, 2013, among, inter alios, the Company, the NXP Notes Co-Issuer, the guarantors listed therein and Deutsche Bank Trust Company Americas, as trustee, as amended from time to time.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September 2013 Notes</w:t>
      </w:r>
      <w:r>
        <w:rPr>
          <w:rFonts w:ascii="Arial" w:cs="Arial" w:eastAsia="Arial" w:hAnsi="Arial"/>
          <w:sz w:val="18"/>
          <w:szCs w:val="18"/>
          <w:color w:val="auto"/>
        </w:rPr>
        <w:t>” means the $500 million in aggregate principal amount of 3.50% senior unsecured notes due 2016 issued by the Company and the NXP Notes Co-Issuer on September 24, 2013 pursuant to the NXP September 2013 Indenture.</w:t>
      </w:r>
    </w:p>
    <w:p>
      <w:pPr>
        <w:spacing w:after="0" w:line="17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any principal, interest (including any interest accruing on or subsequent to the filing of a petition in bankruptcy, reorganization or similar proceeding at the rate provided for in the documentation with respect thereto, whether or not such interest is an allowed claim under applicable state, federal or foreign law),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Memorandum</w:t>
      </w:r>
      <w:r>
        <w:rPr>
          <w:rFonts w:ascii="Arial" w:cs="Arial" w:eastAsia="Arial" w:hAnsi="Arial"/>
          <w:sz w:val="18"/>
          <w:szCs w:val="18"/>
          <w:color w:val="auto"/>
        </w:rPr>
        <w:t>” means the confidential offering memorandum, dated May 16, 2013, relating to the sale of the Initial Notes.</w:t>
      </w:r>
    </w:p>
    <w:p>
      <w:pPr>
        <w:spacing w:after="0" w:line="225"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w:t>
      </w:r>
      <w:r>
        <w:rPr>
          <w:rFonts w:ascii="Arial" w:cs="Arial" w:eastAsia="Arial" w:hAnsi="Arial"/>
          <w:sz w:val="16"/>
          <w:szCs w:val="16"/>
          <w:color w:val="auto"/>
        </w:rPr>
        <w:t>” means the Chairman of the Board, the Chief Executive Officer, the President, any Executive Vice President, Senior Vice President or Vice President, the Treasurer or the Secretary of any Person. Unless otherwise indicated, Officer shall refer to an Officer of the Company.</w:t>
      </w:r>
    </w:p>
    <w:p>
      <w:pPr>
        <w:spacing w:after="0" w:line="124"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means a certificate signed on behalf of a Person by an Officer of such Person, who must be the principal executive officer, the principal financial officer, the treasurer or the principal accounting officer of such Person, that meets the requirements set forth in this Indenture.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Old Notes</w:t>
      </w:r>
      <w:r>
        <w:rPr>
          <w:rFonts w:ascii="Arial" w:cs="Arial" w:eastAsia="Arial" w:hAnsi="Arial"/>
          <w:sz w:val="18"/>
          <w:szCs w:val="18"/>
          <w:color w:val="auto"/>
        </w:rPr>
        <w:t>” means the 6.875% Senior Notes due 2011 issued by the Issuer and the 7.125% Notes due 2014 issued by the Issuer.</w:t>
      </w:r>
    </w:p>
    <w:p>
      <w:pPr>
        <w:spacing w:after="0" w:line="225"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from legal counsel who is acceptable to the Trustee. The counsel may be an employee of or counsel to the Company, the Issuer or the Trustee.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Guarantors</w:t>
      </w:r>
      <w:r>
        <w:rPr>
          <w:rFonts w:ascii="Arial" w:cs="Arial" w:eastAsia="Arial" w:hAnsi="Arial"/>
          <w:sz w:val="18"/>
          <w:szCs w:val="18"/>
          <w:color w:val="auto"/>
        </w:rPr>
        <w:t>” means the Company, Holdings I, Holdings II, Holdings III, Holdings IV and Holdings V.</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with respect to the Depositary a Person who has an account with the Depositary (and, with respect to DTC, shall include Euroclear and Clearstream).</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Asset Swap</w:t>
      </w:r>
      <w:r>
        <w:rPr>
          <w:rFonts w:ascii="Arial" w:cs="Arial" w:eastAsia="Arial" w:hAnsi="Arial"/>
          <w:sz w:val="18"/>
          <w:szCs w:val="18"/>
          <w:color w:val="auto"/>
        </w:rPr>
        <w:t>” means the substantially concurrent purchase and sale or exchange of Related Business Assets or a combination of Related Business Assets and cash or Cash Equivalents between the Company or any of its Restricted Subsidiaries and another Person; provided, that any cash or Cash Equivalents received must be applied in accordance with Section 4.10 hereof.</w:t>
      </w:r>
    </w:p>
    <w:p>
      <w:pPr>
        <w:spacing w:after="0" w:line="181"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means each of the Investors and members of management of the Company or its direct or indirect parent companies on the Merger Date who are holders of Equity Interests of the Company (or any of its direct or indirect parent companies) and any group (within the meaning of Section 13(d)(3) or Section 14(d)(2) of the Exchange Act or any successor provision) of which any of the foregoing are members; provided, that, in the case of such group and without giving effect to the existence of such group or any other group, such Investors and members of management, collectively, have beneficial ownership of more than 50% of the total voting power of the Voting Stock of the Company or any of its direct or indirect parent companies.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700" w:hanging="257"/>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Investment in the Company or any of its Restricted Subsidiaries;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Investment in cash and Cash Equivalents or Investment Grade Securities;</w:t>
      </w:r>
    </w:p>
    <w:p>
      <w:pPr>
        <w:spacing w:after="0" w:line="117" w:lineRule="exact"/>
        <w:rPr>
          <w:rFonts w:ascii="Arial" w:cs="Arial" w:eastAsia="Arial" w:hAnsi="Arial"/>
          <w:sz w:val="18"/>
          <w:szCs w:val="18"/>
          <w:color w:val="auto"/>
        </w:rPr>
      </w:pPr>
    </w:p>
    <w:p>
      <w:pPr>
        <w:ind w:right="240" w:firstLine="443"/>
        <w:spacing w:after="0" w:line="277" w:lineRule="auto"/>
        <w:tabs>
          <w:tab w:leader="none" w:pos="6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Investment by the Company or any of its Restricted Subsidiaries in a Person that is engaged in a Similar Business if as a result of such Investment:</w:t>
      </w:r>
    </w:p>
    <w:p>
      <w:pPr>
        <w:spacing w:after="0" w:line="62" w:lineRule="exact"/>
        <w:rPr>
          <w:rFonts w:ascii="Arial" w:cs="Arial" w:eastAsia="Arial" w:hAnsi="Arial"/>
          <w:sz w:val="18"/>
          <w:szCs w:val="18"/>
          <w:color w:val="auto"/>
        </w:rPr>
      </w:pPr>
    </w:p>
    <w:p>
      <w:pPr>
        <w:ind w:left="1120" w:hanging="239"/>
        <w:spacing w:after="0"/>
        <w:tabs>
          <w:tab w:leader="none" w:pos="11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such Person becomes a Restricted Subsidiary; or</w:t>
      </w:r>
    </w:p>
    <w:p>
      <w:pPr>
        <w:spacing w:after="0" w:line="117" w:lineRule="exact"/>
        <w:rPr>
          <w:rFonts w:ascii="Arial" w:cs="Arial" w:eastAsia="Arial" w:hAnsi="Arial"/>
          <w:sz w:val="18"/>
          <w:szCs w:val="18"/>
          <w:color w:val="auto"/>
        </w:rPr>
      </w:pPr>
    </w:p>
    <w:p>
      <w:pPr>
        <w:ind w:left="460" w:right="160" w:firstLine="421"/>
        <w:spacing w:after="0" w:line="277" w:lineRule="auto"/>
        <w:tabs>
          <w:tab w:leader="none" w:pos="1135"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such Person, in one transaction or a series of related transactions, is merged, amalgamated or consolidated with or into, or transfers or conveys substantially all of its assets to, or is liquidated into, the Company or a Restricted Subsidiary,</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and, in each case, any Investment held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Investment was not acquired by such Person in contemplation of such acquisition, merger, consolidation or transfer;</w:t>
      </w:r>
    </w:p>
    <w:p>
      <w:pPr>
        <w:spacing w:after="0" w:line="62" w:lineRule="exact"/>
        <w:rPr>
          <w:sz w:val="20"/>
          <w:szCs w:val="20"/>
          <w:color w:val="auto"/>
        </w:rPr>
      </w:pPr>
    </w:p>
    <w:p>
      <w:pPr>
        <w:ind w:firstLine="443"/>
        <w:spacing w:after="0" w:line="264" w:lineRule="auto"/>
        <w:tabs>
          <w:tab w:leader="none" w:pos="69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Investment in securities or other assets not constituting cash, Cash Equivalents or Investment Grade Securities and received in connection with an Asset Sale made pursuant to the provisions described under Section 4.10 hereof or any other disposition of assets not constituting an Asset Sale;</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Investment existing on the NXP Measurement Date;</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Investment acquired by the Company or any of its Restricted Subsidiaries:</w:t>
      </w:r>
    </w:p>
    <w:p>
      <w:pPr>
        <w:spacing w:after="0" w:line="117" w:lineRule="exact"/>
        <w:rPr>
          <w:rFonts w:ascii="Arial" w:cs="Arial" w:eastAsia="Arial" w:hAnsi="Arial"/>
          <w:sz w:val="18"/>
          <w:szCs w:val="18"/>
          <w:color w:val="auto"/>
        </w:rPr>
      </w:pPr>
    </w:p>
    <w:p>
      <w:pPr>
        <w:jc w:val="both"/>
        <w:ind w:left="460" w:right="20" w:firstLine="421"/>
        <w:spacing w:after="0" w:line="264" w:lineRule="auto"/>
        <w:tabs>
          <w:tab w:leader="none" w:pos="1125"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exchange for any other Investment or accounts receivable held by the Company or any such Restricted Subsidiary in connection with or as a result of a bankruptcy, workout, reorganization or recapitalization of the issuer of such other Investment or accounts receivable (including any trade creditor or customer); or</w:t>
      </w:r>
    </w:p>
    <w:p>
      <w:pPr>
        <w:spacing w:after="0" w:line="73" w:lineRule="exact"/>
        <w:rPr>
          <w:rFonts w:ascii="Arial" w:cs="Arial" w:eastAsia="Arial" w:hAnsi="Arial"/>
          <w:sz w:val="18"/>
          <w:szCs w:val="18"/>
          <w:color w:val="auto"/>
        </w:rPr>
      </w:pPr>
    </w:p>
    <w:p>
      <w:pPr>
        <w:ind w:left="460" w:firstLine="421"/>
        <w:spacing w:after="0" w:line="277" w:lineRule="auto"/>
        <w:tabs>
          <w:tab w:leader="none" w:pos="1135" w:val="left"/>
        </w:tabs>
        <w:numPr>
          <w:ilvl w:val="1"/>
          <w:numId w:val="78"/>
        </w:numPr>
        <w:rPr>
          <w:rFonts w:ascii="Arial" w:cs="Arial" w:eastAsia="Arial" w:hAnsi="Arial"/>
          <w:sz w:val="18"/>
          <w:szCs w:val="18"/>
          <w:color w:val="auto"/>
        </w:rPr>
      </w:pPr>
      <w:r>
        <w:rPr>
          <w:rFonts w:ascii="Arial" w:cs="Arial" w:eastAsia="Arial" w:hAnsi="Arial"/>
          <w:sz w:val="18"/>
          <w:szCs w:val="18"/>
          <w:color w:val="auto"/>
        </w:rPr>
        <w:t>as a result of a foreclosure by the Company or any of its Restricted Subsidiaries with respect to any secured Investment or other transfer of title with respect to any secured Investment in default;</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Hedging Obligations permitted under clause (10) of Section 4.09(b) hereof;</w:t>
      </w:r>
    </w:p>
    <w:p>
      <w:pPr>
        <w:spacing w:after="0" w:line="117" w:lineRule="exact"/>
        <w:rPr>
          <w:rFonts w:ascii="Arial" w:cs="Arial" w:eastAsia="Arial" w:hAnsi="Arial"/>
          <w:sz w:val="18"/>
          <w:szCs w:val="18"/>
          <w:color w:val="auto"/>
        </w:rPr>
      </w:pPr>
    </w:p>
    <w:p>
      <w:pPr>
        <w:jc w:val="both"/>
        <w:ind w:right="160" w:firstLine="443"/>
        <w:spacing w:after="0" w:line="312" w:lineRule="auto"/>
        <w:tabs>
          <w:tab w:leader="none" w:pos="693"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Investment in a Similar Business having an aggregate fair market value, taken together with all other Investments made pursuant to this clause (8) after the NXP Measurement Date that are at that time outstanding, not to exceed 3.5% of Total Assets at the time of such Investment (with the fair market value of each Investment being measured at the time made and without giving effect to subsequent changes in value);</w:t>
      </w:r>
    </w:p>
    <w:p>
      <w:pPr>
        <w:spacing w:after="0" w:line="38" w:lineRule="exact"/>
        <w:rPr>
          <w:rFonts w:ascii="Arial" w:cs="Arial" w:eastAsia="Arial" w:hAnsi="Arial"/>
          <w:sz w:val="16"/>
          <w:szCs w:val="16"/>
          <w:color w:val="auto"/>
        </w:rPr>
      </w:pPr>
    </w:p>
    <w:p>
      <w:pPr>
        <w:jc w:val="both"/>
        <w:ind w:right="460" w:firstLine="443"/>
        <w:spacing w:after="0" w:line="264" w:lineRule="auto"/>
        <w:tabs>
          <w:tab w:leader="none" w:pos="69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Investments the payment for which consists of Equity Interests (exclusive of Disqualified Stock) of the Company, or any of its direct or indirect parent companies; provided, that such Equity Interests will not increase the amount available for Restricted Payments under clause (3) of Section 4.07(a) hereof;</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700" w:top="274" w:right="279" w:bottom="1440" w:gutter="0" w:footer="0" w:header="0"/>
        </w:sectPr>
      </w:pPr>
    </w:p>
    <w:bookmarkStart w:id="64" w:name="page65"/>
    <w:bookmarkEnd w:id="64"/>
    <w:p>
      <w:pPr>
        <w:ind w:left="780" w:hanging="337"/>
        <w:spacing w:after="0"/>
        <w:tabs>
          <w:tab w:leader="none" w:pos="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guarantees of Indebtedness permitted under Section 4.09 hereof;</w:t>
      </w:r>
    </w:p>
    <w:p>
      <w:pPr>
        <w:spacing w:after="0" w:line="117" w:lineRule="exact"/>
        <w:rPr>
          <w:rFonts w:ascii="Arial" w:cs="Arial" w:eastAsia="Arial" w:hAnsi="Arial"/>
          <w:sz w:val="18"/>
          <w:szCs w:val="18"/>
          <w:color w:val="auto"/>
        </w:rPr>
      </w:pPr>
    </w:p>
    <w:p>
      <w:pPr>
        <w:ind w:right="320" w:firstLine="443"/>
        <w:spacing w:after="0" w:line="277" w:lineRule="auto"/>
        <w:tabs>
          <w:tab w:leader="none" w:pos="77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transaction to the extent it constitutes an Investment that is permitted and made in accordance with the provisions of Section 4.11(b) hereof (except transactions described in clauses (2), (5) and (9) of Section 4.11(b) hereof);</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or equipment;</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additional Investments having an aggregate fair market value, taken together with all other Investments made pursuant to this clause</w:t>
      </w:r>
    </w:p>
    <w:p>
      <w:pPr>
        <w:spacing w:after="0" w:line="34" w:lineRule="exact"/>
        <w:rPr>
          <w:rFonts w:ascii="Arial" w:cs="Arial" w:eastAsia="Arial" w:hAnsi="Arial"/>
          <w:sz w:val="17"/>
          <w:szCs w:val="17"/>
          <w:color w:val="auto"/>
        </w:rPr>
      </w:pPr>
    </w:p>
    <w:p>
      <w:pPr>
        <w:ind w:right="100" w:firstLine="4"/>
        <w:spacing w:after="0" w:line="302" w:lineRule="auto"/>
        <w:tabs>
          <w:tab w:leader="none" w:pos="345" w:val="left"/>
        </w:tabs>
        <w:numPr>
          <w:ilvl w:val="0"/>
          <w:numId w:val="80"/>
        </w:numPr>
        <w:rPr>
          <w:rFonts w:ascii="Arial" w:cs="Arial" w:eastAsia="Arial" w:hAnsi="Arial"/>
          <w:sz w:val="16"/>
          <w:szCs w:val="16"/>
          <w:color w:val="auto"/>
        </w:rPr>
      </w:pPr>
      <w:r>
        <w:rPr>
          <w:rFonts w:ascii="Arial" w:cs="Arial" w:eastAsia="Arial" w:hAnsi="Arial"/>
          <w:sz w:val="16"/>
          <w:szCs w:val="16"/>
          <w:color w:val="auto"/>
        </w:rPr>
        <w:t>after the NXP Measurement Date that are at that time outstanding (without giving effect to the sale of an Unrestricted Subsidiary to the extent the proceeds of such sale do not consist of cash or marketable securities), not to exceed 4.0% of Total Assets at the time of such Investment (with the fair market value of each Investment being measured at the time made and without giving effect to subsequent changes in value);</w:t>
      </w:r>
    </w:p>
    <w:p>
      <w:pPr>
        <w:spacing w:after="0" w:line="47" w:lineRule="exact"/>
        <w:rPr>
          <w:rFonts w:ascii="Arial" w:cs="Arial" w:eastAsia="Arial" w:hAnsi="Arial"/>
          <w:sz w:val="16"/>
          <w:szCs w:val="16"/>
          <w:color w:val="auto"/>
        </w:rPr>
      </w:pPr>
    </w:p>
    <w:p>
      <w:pPr>
        <w:ind w:right="160" w:firstLine="443"/>
        <w:spacing w:after="0" w:line="277" w:lineRule="auto"/>
        <w:tabs>
          <w:tab w:leader="none" w:pos="783"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Investments in or relating to a Securitization Subsidiary that, in the good faith determination of the Company are necessary or advisable to effect any Qualified Securitization Facility or any repurchase obligation in connection therewith;</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advances to, or guarantees of Indebtedness of, employees not in excess of $25.0 million outstanding at any one time, in the aggregate;</w:t>
      </w:r>
    </w:p>
    <w:p>
      <w:pPr>
        <w:spacing w:after="0" w:line="140" w:lineRule="exact"/>
        <w:rPr>
          <w:rFonts w:ascii="Arial" w:cs="Arial" w:eastAsia="Arial" w:hAnsi="Arial"/>
          <w:sz w:val="16"/>
          <w:szCs w:val="16"/>
          <w:color w:val="auto"/>
        </w:rPr>
      </w:pPr>
    </w:p>
    <w:p>
      <w:pPr>
        <w:ind w:firstLine="443"/>
        <w:spacing w:after="0" w:line="264" w:lineRule="auto"/>
        <w:tabs>
          <w:tab w:leader="none" w:pos="783" w:val="left"/>
        </w:tabs>
        <w:numPr>
          <w:ilvl w:val="1"/>
          <w:numId w:val="80"/>
        </w:numPr>
        <w:rPr>
          <w:rFonts w:ascii="Arial" w:cs="Arial" w:eastAsia="Arial" w:hAnsi="Arial"/>
          <w:sz w:val="18"/>
          <w:szCs w:val="18"/>
          <w:color w:val="auto"/>
        </w:rPr>
      </w:pPr>
      <w:r>
        <w:rPr>
          <w:rFonts w:ascii="Arial" w:cs="Arial" w:eastAsia="Arial" w:hAnsi="Arial"/>
          <w:sz w:val="18"/>
          <w:szCs w:val="18"/>
          <w:color w:val="auto"/>
        </w:rPr>
        <w:t>loans and advances to officers, directors and employees for business-related travel expenses, moving expenses and other similar expenses, in each case incurred in the ordinary course of business or consistent with past practices or to fund such Person’s purchase of Equity Interests of the Company or any direct or indirect parent company thereof;</w:t>
      </w:r>
    </w:p>
    <w:p>
      <w:pPr>
        <w:spacing w:after="0" w:line="73" w:lineRule="exact"/>
        <w:rPr>
          <w:rFonts w:ascii="Arial" w:cs="Arial" w:eastAsia="Arial" w:hAnsi="Arial"/>
          <w:sz w:val="18"/>
          <w:szCs w:val="18"/>
          <w:color w:val="auto"/>
        </w:rPr>
      </w:pPr>
    </w:p>
    <w:p>
      <w:pPr>
        <w:ind w:left="780" w:hanging="337"/>
        <w:spacing w:after="0"/>
        <w:tabs>
          <w:tab w:leader="none" w:pos="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advances, loans or extensions of trade credit in the ordinary course of business by the Company or any of its Restricted Subsidiaries; and</w:t>
      </w:r>
    </w:p>
    <w:p>
      <w:pPr>
        <w:spacing w:after="0" w:line="140" w:lineRule="exact"/>
        <w:rPr>
          <w:rFonts w:ascii="Arial" w:cs="Arial" w:eastAsia="Arial" w:hAnsi="Arial"/>
          <w:sz w:val="16"/>
          <w:szCs w:val="16"/>
          <w:color w:val="auto"/>
        </w:rPr>
      </w:pPr>
    </w:p>
    <w:p>
      <w:pPr>
        <w:jc w:val="both"/>
        <w:ind w:right="20" w:firstLine="443"/>
        <w:spacing w:after="0" w:line="302" w:lineRule="auto"/>
        <w:tabs>
          <w:tab w:leader="none" w:pos="783"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Investments in or with respect to the Issuer’s jointly funded alliance with respect to the 300 millimeter wafer fabrication in Crolles, France, as in effect on the Issue Date, and any amendment, modification or restructuring thereof, or any successor or replacement alliance or arrangement with respect thereto, or any additional alliance or arrangement with respect to 300 millimeter or larger wafer fabrication (in each case whether or not located in Crolles, France); provided that the aggregate fair market value of any such Investments in any calendar year shall not exceed an amount equal to:</w:t>
      </w:r>
    </w:p>
    <w:p>
      <w:pPr>
        <w:spacing w:after="0" w:line="46" w:lineRule="exact"/>
        <w:rPr>
          <w:rFonts w:ascii="Arial" w:cs="Arial" w:eastAsia="Arial" w:hAnsi="Arial"/>
          <w:sz w:val="16"/>
          <w:szCs w:val="16"/>
          <w:color w:val="auto"/>
        </w:rPr>
      </w:pPr>
    </w:p>
    <w:p>
      <w:pPr>
        <w:ind w:left="460" w:right="520" w:firstLine="421"/>
        <w:spacing w:after="0" w:line="277" w:lineRule="auto"/>
        <w:tabs>
          <w:tab w:leader="none" w:pos="1125" w:val="left"/>
        </w:tabs>
        <w:numPr>
          <w:ilvl w:val="2"/>
          <w:numId w:val="80"/>
        </w:numPr>
        <w:rPr>
          <w:rFonts w:ascii="Arial" w:cs="Arial" w:eastAsia="Arial" w:hAnsi="Arial"/>
          <w:sz w:val="18"/>
          <w:szCs w:val="18"/>
          <w:color w:val="auto"/>
        </w:rPr>
      </w:pPr>
      <w:r>
        <w:rPr>
          <w:rFonts w:ascii="Arial" w:cs="Arial" w:eastAsia="Arial" w:hAnsi="Arial"/>
          <w:sz w:val="18"/>
          <w:szCs w:val="18"/>
          <w:color w:val="auto"/>
        </w:rPr>
        <w:t>$150.0 million, with unused amounts in any calendar year being carried over to succeeding calendar years subject to a maximum carryover of $250.0 million; plus</w:t>
      </w:r>
    </w:p>
    <w:p>
      <w:pPr>
        <w:spacing w:after="0" w:line="62" w:lineRule="exact"/>
        <w:rPr>
          <w:rFonts w:ascii="Arial" w:cs="Arial" w:eastAsia="Arial" w:hAnsi="Arial"/>
          <w:sz w:val="18"/>
          <w:szCs w:val="18"/>
          <w:color w:val="auto"/>
        </w:rPr>
      </w:pPr>
    </w:p>
    <w:p>
      <w:pPr>
        <w:ind w:left="460" w:right="20" w:firstLine="421"/>
        <w:spacing w:after="0" w:line="264" w:lineRule="auto"/>
        <w:tabs>
          <w:tab w:leader="none" w:pos="1135"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amount of 300 Millimeter Asset Sale Proceeds received during such calendar year, with unused 300 Millimeter Asset Sale Proceeds in any calendar year being carried over to succeeding calendar years without any maximum carryover amount; provided that the aggregate amount of Investments made pursuant to this clause (b) shall not exceed $500.0 million; minus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700" w:top="274" w:right="279" w:bottom="1440" w:gutter="0" w:footer="0" w:header="0"/>
        </w:sectPr>
      </w:pPr>
    </w:p>
    <w:bookmarkStart w:id="65" w:name="page66"/>
    <w:bookmarkEnd w:id="65"/>
    <w:p>
      <w:pPr>
        <w:ind w:left="460" w:right="20" w:firstLine="421"/>
        <w:spacing w:after="0" w:line="259" w:lineRule="auto"/>
        <w:tabs>
          <w:tab w:leader="none" w:pos="1125"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300 Millimeter R&amp;D Expenses incurred during such calendar year that is added back to Consolidated Net Income of the Company with respect to such calendar year in arriving at EBITDA of the Company with respect to such calendar year (including with respect to such calendar year reducing the amounts available under the immediately preceding clauses (a) and (b), as applicable, for carryovers to succeeding calendar years).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firstLine="443"/>
        <w:spacing w:after="0" w:line="257" w:lineRule="auto"/>
        <w:tabs>
          <w:tab w:leader="none" w:pos="693"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w:t>
      </w:r>
    </w:p>
    <w:p>
      <w:pPr>
        <w:spacing w:after="0" w:line="80" w:lineRule="exact"/>
        <w:rPr>
          <w:rFonts w:ascii="Arial" w:cs="Arial" w:eastAsia="Arial" w:hAnsi="Arial"/>
          <w:sz w:val="18"/>
          <w:szCs w:val="18"/>
          <w:color w:val="auto"/>
        </w:rPr>
      </w:pPr>
    </w:p>
    <w:p>
      <w:pPr>
        <w:jc w:val="both"/>
        <w:ind w:right="220" w:firstLine="443"/>
        <w:spacing w:after="0" w:line="259" w:lineRule="auto"/>
        <w:tabs>
          <w:tab w:leader="none" w:pos="693"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in each case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78" w:lineRule="exact"/>
        <w:rPr>
          <w:rFonts w:ascii="Arial" w:cs="Arial" w:eastAsia="Arial" w:hAnsi="Arial"/>
          <w:sz w:val="18"/>
          <w:szCs w:val="18"/>
          <w:color w:val="auto"/>
        </w:rPr>
      </w:pPr>
    </w:p>
    <w:p>
      <w:pPr>
        <w:ind w:right="60" w:firstLine="443"/>
        <w:spacing w:after="0" w:line="264" w:lineRule="auto"/>
        <w:tabs>
          <w:tab w:leader="none" w:pos="693"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payable or subject to penalties for nonpayment or which are being contested in good faith by appropriate proceedings diligently conducted, if adequate reserves with respect thereto are maintained on the books of such Person in accordance with GAAP;</w:t>
      </w:r>
    </w:p>
    <w:p>
      <w:pPr>
        <w:spacing w:after="0" w:line="73" w:lineRule="exact"/>
        <w:rPr>
          <w:rFonts w:ascii="Arial" w:cs="Arial" w:eastAsia="Arial" w:hAnsi="Arial"/>
          <w:sz w:val="18"/>
          <w:szCs w:val="18"/>
          <w:color w:val="auto"/>
        </w:rPr>
      </w:pPr>
    </w:p>
    <w:p>
      <w:pPr>
        <w:ind w:right="340" w:firstLine="443"/>
        <w:spacing w:after="0" w:line="277" w:lineRule="auto"/>
        <w:tabs>
          <w:tab w:leader="none" w:pos="693"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in favor of issuers of performance and surety bonds or bid bonds or with respect to other regulatory requirements or letters of credit issued pursuant to the request of and for the account of such Person in the ordinary course of its business;</w:t>
      </w:r>
    </w:p>
    <w:p>
      <w:pPr>
        <w:spacing w:after="0" w:line="62" w:lineRule="exact"/>
        <w:rPr>
          <w:rFonts w:ascii="Arial" w:cs="Arial" w:eastAsia="Arial" w:hAnsi="Arial"/>
          <w:sz w:val="18"/>
          <w:szCs w:val="18"/>
          <w:color w:val="auto"/>
        </w:rPr>
      </w:pPr>
    </w:p>
    <w:p>
      <w:pPr>
        <w:ind w:right="80" w:firstLine="443"/>
        <w:spacing w:after="0" w:line="302" w:lineRule="auto"/>
        <w:tabs>
          <w:tab w:leader="none" w:pos="693" w:val="left"/>
        </w:tabs>
        <w:numPr>
          <w:ilvl w:val="0"/>
          <w:numId w:val="82"/>
        </w:numPr>
        <w:rPr>
          <w:rFonts w:ascii="Arial" w:cs="Arial" w:eastAsia="Arial" w:hAnsi="Arial"/>
          <w:sz w:val="16"/>
          <w:szCs w:val="16"/>
          <w:color w:val="auto"/>
        </w:rPr>
      </w:pPr>
      <w:r>
        <w:rPr>
          <w:rFonts w:ascii="Arial" w:cs="Arial" w:eastAsia="Arial" w:hAnsi="Arial"/>
          <w:sz w:val="16"/>
          <w:szCs w:val="16"/>
          <w:color w:val="auto"/>
        </w:rPr>
        <w:t>minor survey exceptions, minor encumbrances, easements or reservations of, or rights of others for, licenses, rights-of-way, sewers, electric lines, telegraph and telephone lines and other similar purposes,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46" w:lineRule="exact"/>
        <w:rPr>
          <w:rFonts w:ascii="Arial" w:cs="Arial" w:eastAsia="Arial" w:hAnsi="Arial"/>
          <w:sz w:val="16"/>
          <w:szCs w:val="16"/>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securing Credit Facilities Obligations permitted to be incurred pursuant to clause (1) of Section 4.09(b);</w:t>
      </w:r>
    </w:p>
    <w:p>
      <w:pPr>
        <w:spacing w:after="0" w:line="117" w:lineRule="exact"/>
        <w:rPr>
          <w:rFonts w:ascii="Arial" w:cs="Arial" w:eastAsia="Arial" w:hAnsi="Arial"/>
          <w:sz w:val="18"/>
          <w:szCs w:val="18"/>
          <w:color w:val="auto"/>
        </w:rPr>
      </w:pPr>
    </w:p>
    <w:p>
      <w:pPr>
        <w:ind w:right="320" w:firstLine="443"/>
        <w:spacing w:after="0" w:line="277" w:lineRule="auto"/>
        <w:tabs>
          <w:tab w:leader="none" w:pos="693"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securing Credit Facilities Obligations permitted to be incurred pursuant to Section 4.09; provided that at the time of incurrence, and after giving pro forma effect thereto, the Consolidated Secured Debt Ratio would be no greater than 3.25x to 1;</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securing the Notes, any Guarantee of the Notes and other Obligations under the Notes and this Indenture;</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74" w:right="259" w:bottom="1440" w:gutter="0" w:footer="0" w:header="0"/>
        </w:sectPr>
      </w:pPr>
    </w:p>
    <w:bookmarkStart w:id="66" w:name="page67"/>
    <w:bookmarkEnd w:id="66"/>
    <w:p>
      <w:pPr>
        <w:ind w:right="200" w:firstLine="443"/>
        <w:spacing w:after="0" w:line="277" w:lineRule="auto"/>
        <w:tabs>
          <w:tab w:leader="none" w:pos="693"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securing the Existing Secured Notes, any Guarantee of the Existing Secured Notes and other obligations under the Existing Secured Notes, and the indenture governing the Existing Secured Notes;</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securing Indebtedness permitted to be incurred pursuant to clause (4) or (12)(b) of Section 4.09 (b) hereof;</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existing on the Issue Date and the Merger Date (including the Liens granted pursuant to Section 7.06 hereof);</w:t>
      </w:r>
    </w:p>
    <w:p>
      <w:pPr>
        <w:spacing w:after="0" w:line="117" w:lineRule="exact"/>
        <w:rPr>
          <w:rFonts w:ascii="Arial" w:cs="Arial" w:eastAsia="Arial" w:hAnsi="Arial"/>
          <w:sz w:val="18"/>
          <w:szCs w:val="18"/>
          <w:color w:val="auto"/>
        </w:rPr>
      </w:pPr>
    </w:p>
    <w:p>
      <w:pPr>
        <w:ind w:right="20" w:firstLine="443"/>
        <w:spacing w:after="0" w:line="286" w:lineRule="auto"/>
        <w:tabs>
          <w:tab w:leader="none" w:pos="783" w:val="left"/>
        </w:tabs>
        <w:numPr>
          <w:ilvl w:val="0"/>
          <w:numId w:val="83"/>
        </w:numPr>
        <w:rPr>
          <w:rFonts w:ascii="Arial" w:cs="Arial" w:eastAsia="Arial" w:hAnsi="Arial"/>
          <w:sz w:val="17"/>
          <w:szCs w:val="17"/>
          <w:color w:val="auto"/>
        </w:rPr>
      </w:pPr>
      <w:r>
        <w:rPr>
          <w:rFonts w:ascii="Arial" w:cs="Arial" w:eastAsia="Arial" w:hAnsi="Arial"/>
          <w:sz w:val="17"/>
          <w:szCs w:val="17"/>
          <w:color w:val="auto"/>
        </w:rPr>
        <w:t>Liens on property or shares of stock or other assets of a Person at the time such Person becomes a Subsidiary; provided, that such Liens are not created or incurred in connection with, or in contemplation of, such other Person becoming such a Subsidiary; provided, further, that such Liens may not extend to any other property or other assets owned by the Company or any of its Restricted Subsidiaries;</w:t>
      </w:r>
    </w:p>
    <w:p>
      <w:pPr>
        <w:spacing w:after="0" w:line="57" w:lineRule="exact"/>
        <w:rPr>
          <w:rFonts w:ascii="Arial" w:cs="Arial" w:eastAsia="Arial" w:hAnsi="Arial"/>
          <w:sz w:val="17"/>
          <w:szCs w:val="17"/>
          <w:color w:val="auto"/>
        </w:rPr>
      </w:pPr>
    </w:p>
    <w:p>
      <w:pPr>
        <w:jc w:val="both"/>
        <w:ind w:right="60" w:firstLine="443"/>
        <w:spacing w:after="0" w:line="279" w:lineRule="auto"/>
        <w:tabs>
          <w:tab w:leader="none" w:pos="783" w:val="left"/>
        </w:tabs>
        <w:numPr>
          <w:ilvl w:val="0"/>
          <w:numId w:val="83"/>
        </w:numPr>
        <w:rPr>
          <w:rFonts w:ascii="Arial" w:cs="Arial" w:eastAsia="Arial" w:hAnsi="Arial"/>
          <w:sz w:val="17"/>
          <w:szCs w:val="17"/>
          <w:color w:val="auto"/>
        </w:rPr>
      </w:pPr>
      <w:r>
        <w:rPr>
          <w:rFonts w:ascii="Arial" w:cs="Arial" w:eastAsia="Arial" w:hAnsi="Arial"/>
          <w:sz w:val="17"/>
          <w:szCs w:val="17"/>
          <w:color w:val="auto"/>
        </w:rPr>
        <w:t>Liens on property or other assets at the time the Company or a Restricted Subsidiary acquired the property or such other assets, including any acquisition by means of a merger, amalgamation or consolidation with or into the Company or any of its Restricted Subsidiaries; provided, that such Liens are not created or incurred in connection with, or in contemplation of, such acquisition; provided, further, that the Liens may not extend to any other property owned by the Company or any of its Restricted Subsidiaries;</w:t>
      </w:r>
    </w:p>
    <w:p>
      <w:pPr>
        <w:spacing w:after="0" w:line="63" w:lineRule="exact"/>
        <w:rPr>
          <w:rFonts w:ascii="Arial" w:cs="Arial" w:eastAsia="Arial" w:hAnsi="Arial"/>
          <w:sz w:val="17"/>
          <w:szCs w:val="17"/>
          <w:color w:val="auto"/>
        </w:rPr>
      </w:pPr>
    </w:p>
    <w:p>
      <w:pPr>
        <w:ind w:right="580" w:firstLine="443"/>
        <w:spacing w:after="0" w:line="277" w:lineRule="auto"/>
        <w:tabs>
          <w:tab w:leader="none" w:pos="783"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Restricted Subsidiary owing to the Company or another Restricted Subsidiary permitted to be incurred in accordance with the Section 4.09;</w:t>
      </w:r>
    </w:p>
    <w:p>
      <w:pPr>
        <w:spacing w:after="0" w:line="62" w:lineRule="exact"/>
        <w:rPr>
          <w:rFonts w:ascii="Arial" w:cs="Arial" w:eastAsia="Arial" w:hAnsi="Arial"/>
          <w:sz w:val="18"/>
          <w:szCs w:val="18"/>
          <w:color w:val="auto"/>
        </w:rPr>
      </w:pPr>
    </w:p>
    <w:p>
      <w:pPr>
        <w:ind w:firstLine="443"/>
        <w:spacing w:after="0" w:line="277" w:lineRule="auto"/>
        <w:tabs>
          <w:tab w:leader="none" w:pos="783"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securing Hedging Obligations so long as related Indebtedness is, and is permitted to be under this Indenture, secured by a Lien on the same property securing such Hedging Obligations;</w:t>
      </w:r>
    </w:p>
    <w:p>
      <w:pPr>
        <w:spacing w:after="0" w:line="62" w:lineRule="exact"/>
        <w:rPr>
          <w:rFonts w:ascii="Arial" w:cs="Arial" w:eastAsia="Arial" w:hAnsi="Arial"/>
          <w:sz w:val="18"/>
          <w:szCs w:val="18"/>
          <w:color w:val="auto"/>
        </w:rPr>
      </w:pPr>
    </w:p>
    <w:p>
      <w:pPr>
        <w:ind w:right="220" w:firstLine="443"/>
        <w:spacing w:after="0" w:line="342" w:lineRule="auto"/>
        <w:tabs>
          <w:tab w:leader="none" w:pos="783" w:val="left"/>
        </w:tabs>
        <w:numPr>
          <w:ilvl w:val="0"/>
          <w:numId w:val="83"/>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5" w:lineRule="exact"/>
        <w:rPr>
          <w:rFonts w:ascii="Arial" w:cs="Arial" w:eastAsia="Arial" w:hAnsi="Arial"/>
          <w:sz w:val="16"/>
          <w:szCs w:val="16"/>
          <w:color w:val="auto"/>
        </w:rPr>
      </w:pPr>
    </w:p>
    <w:p>
      <w:pPr>
        <w:ind w:right="360" w:firstLine="443"/>
        <w:spacing w:after="0" w:line="308" w:lineRule="auto"/>
        <w:tabs>
          <w:tab w:leader="none" w:pos="783" w:val="left"/>
        </w:tabs>
        <w:numPr>
          <w:ilvl w:val="0"/>
          <w:numId w:val="83"/>
        </w:numPr>
        <w:rPr>
          <w:rFonts w:ascii="Arial" w:cs="Arial" w:eastAsia="Arial" w:hAnsi="Arial"/>
          <w:sz w:val="17"/>
          <w:szCs w:val="17"/>
          <w:color w:val="auto"/>
        </w:rPr>
      </w:pPr>
      <w:r>
        <w:rPr>
          <w:rFonts w:ascii="Arial" w:cs="Arial" w:eastAsia="Arial" w:hAnsi="Arial"/>
          <w:sz w:val="17"/>
          <w:szCs w:val="17"/>
          <w:color w:val="auto"/>
        </w:rPr>
        <w:t>leases, subleases, licenses or sublicenses granted to others in the ordinary course of business which do not materially interfere with the ordinary conduct of the business of the Company or any of its Restricted Subsidiaries and do not secure any Indebtedness;</w:t>
      </w:r>
    </w:p>
    <w:p>
      <w:pPr>
        <w:spacing w:after="0" w:line="38" w:lineRule="exact"/>
        <w:rPr>
          <w:rFonts w:ascii="Arial" w:cs="Arial" w:eastAsia="Arial" w:hAnsi="Arial"/>
          <w:sz w:val="17"/>
          <w:szCs w:val="17"/>
          <w:color w:val="auto"/>
        </w:rPr>
      </w:pPr>
    </w:p>
    <w:p>
      <w:pPr>
        <w:ind w:right="140" w:firstLine="443"/>
        <w:spacing w:after="0" w:line="277" w:lineRule="auto"/>
        <w:tabs>
          <w:tab w:leader="none" w:pos="783"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entered into by the Company and its Restricted Subsidiaries in the ordinary course of business;</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in favor of the Company, the Issuer or any Subsidiary Guarantor;</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Liens on equipment of the Company or any of its Restricted Subsidiaries granted in the ordinary course of business to the Company’s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clients;</w:t>
      </w:r>
    </w:p>
    <w:p>
      <w:pPr>
        <w:spacing w:after="0" w:line="102" w:lineRule="exact"/>
        <w:rPr>
          <w:rFonts w:ascii="Arial" w:cs="Arial" w:eastAsia="Arial" w:hAnsi="Arial"/>
          <w:sz w:val="17"/>
          <w:szCs w:val="17"/>
          <w:color w:val="auto"/>
        </w:rPr>
      </w:pPr>
    </w:p>
    <w:p>
      <w:pPr>
        <w:ind w:left="780" w:hanging="337"/>
        <w:spacing w:after="0"/>
        <w:tabs>
          <w:tab w:leader="none" w:pos="7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Liens on accounts receivable, Securitization Assets and related assets incurred in connection with a Qualified Securitization Facility;</w:t>
      </w:r>
    </w:p>
    <w:p>
      <w:pPr>
        <w:spacing w:after="0" w:line="16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40"/>
          </w:cols>
          <w:pgMar w:left="700" w:top="274" w:right="359" w:bottom="1440" w:gutter="0" w:footer="0" w:header="0"/>
        </w:sectPr>
      </w:pPr>
    </w:p>
    <w:bookmarkStart w:id="67" w:name="page68"/>
    <w:bookmarkEnd w:id="67"/>
    <w:p>
      <w:pPr>
        <w:ind w:right="60" w:firstLine="443"/>
        <w:spacing w:after="0" w:line="288" w:lineRule="auto"/>
        <w:tabs>
          <w:tab w:leader="none" w:pos="783" w:val="left"/>
        </w:tabs>
        <w:numPr>
          <w:ilvl w:val="1"/>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to secure any refinancing, refunding, extension, renewal or replacement (or successive refinancing, refunding, extensions, renewals or replacements) as a whole, or in part, of any Indebtedness secured by any Lien referred to in the foregoing clauses (10), (11), (12) and (13); provided, that (a) such new Lien shall be limited to all or part of the same property that secured the original Lien (plus improvements on such property), and</w:t>
      </w:r>
    </w:p>
    <w:p>
      <w:pPr>
        <w:ind w:right="20" w:firstLine="4"/>
        <w:spacing w:after="0" w:line="254"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Indebtedness secured by such Lien at such time is not increased to any amount greater than the sum of (i) the outstanding principal amount or, if greater, committed amount of the Indebtedness described under clauses (10), (11), (12) and (13) at the time the original Lien became a Permitted Lien under this Indenture, and (ii) an amount necessary to pay any fees and expenses, including premiums, related to such refinancing, refunding, extension, renewal or replacement;</w:t>
      </w:r>
    </w:p>
    <w:p>
      <w:pPr>
        <w:spacing w:after="0" w:line="81" w:lineRule="exact"/>
        <w:rPr>
          <w:rFonts w:ascii="Arial" w:cs="Arial" w:eastAsia="Arial" w:hAnsi="Arial"/>
          <w:sz w:val="18"/>
          <w:szCs w:val="18"/>
          <w:color w:val="auto"/>
        </w:rPr>
      </w:pPr>
    </w:p>
    <w:p>
      <w:pPr>
        <w:ind w:left="780" w:hanging="337"/>
        <w:spacing w:after="0"/>
        <w:tabs>
          <w:tab w:leader="none" w:pos="7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deposits made in the ordinary course of business to secure liability to insurance carriers;</w:t>
      </w:r>
    </w:p>
    <w:p>
      <w:pPr>
        <w:spacing w:after="0" w:line="117" w:lineRule="exact"/>
        <w:rPr>
          <w:rFonts w:ascii="Arial" w:cs="Arial" w:eastAsia="Arial" w:hAnsi="Arial"/>
          <w:sz w:val="18"/>
          <w:szCs w:val="18"/>
          <w:color w:val="auto"/>
        </w:rPr>
      </w:pPr>
    </w:p>
    <w:p>
      <w:pPr>
        <w:ind w:right="180" w:firstLine="443"/>
        <w:spacing w:after="0" w:line="277" w:lineRule="auto"/>
        <w:tabs>
          <w:tab w:leader="none" w:pos="783" w:val="left"/>
        </w:tabs>
        <w:numPr>
          <w:ilvl w:val="1"/>
          <w:numId w:val="85"/>
        </w:numPr>
        <w:rPr>
          <w:rFonts w:ascii="Arial" w:cs="Arial" w:eastAsia="Arial" w:hAnsi="Arial"/>
          <w:sz w:val="18"/>
          <w:szCs w:val="18"/>
          <w:color w:val="auto"/>
        </w:rPr>
      </w:pPr>
      <w:r>
        <w:rPr>
          <w:rFonts w:ascii="Arial" w:cs="Arial" w:eastAsia="Arial" w:hAnsi="Arial"/>
          <w:sz w:val="18"/>
          <w:szCs w:val="18"/>
          <w:color w:val="auto"/>
        </w:rPr>
        <w:t>other Liens securing obligations incurred in the ordinary course of business which obligations do not exceed $65.0 million at any one time outstanding;</w:t>
      </w:r>
    </w:p>
    <w:p>
      <w:pPr>
        <w:spacing w:after="0" w:line="62" w:lineRule="exact"/>
        <w:rPr>
          <w:rFonts w:ascii="Arial" w:cs="Arial" w:eastAsia="Arial" w:hAnsi="Arial"/>
          <w:sz w:val="18"/>
          <w:szCs w:val="18"/>
          <w:color w:val="auto"/>
        </w:rPr>
      </w:pPr>
    </w:p>
    <w:p>
      <w:pPr>
        <w:jc w:val="both"/>
        <w:ind w:right="60" w:firstLine="443"/>
        <w:spacing w:after="0" w:line="264" w:lineRule="auto"/>
        <w:tabs>
          <w:tab w:leader="none" w:pos="783" w:val="left"/>
        </w:tabs>
        <w:numPr>
          <w:ilvl w:val="1"/>
          <w:numId w:val="85"/>
        </w:numPr>
        <w:rPr>
          <w:rFonts w:ascii="Arial" w:cs="Arial" w:eastAsia="Arial" w:hAnsi="Arial"/>
          <w:sz w:val="18"/>
          <w:szCs w:val="18"/>
          <w:color w:val="auto"/>
        </w:rPr>
      </w:pPr>
      <w:r>
        <w:rPr>
          <w:rFonts w:ascii="Arial" w:cs="Arial" w:eastAsia="Arial" w:hAnsi="Arial"/>
          <w:sz w:val="18"/>
          <w:szCs w:val="18"/>
          <w:color w:val="auto"/>
        </w:rPr>
        <w:t>Liens securing judgments for the payment of money not constituting an Event of Default under clause (5) under Section 6.01 hereof so long as such Liens are adequately bonded and any appropriate legal proceedings that may have been duly initiated for the review of such judgment have not been finally terminated or the period within which such proceedings may be initiated has not expired;</w:t>
      </w:r>
    </w:p>
    <w:p>
      <w:pPr>
        <w:spacing w:after="0" w:line="73" w:lineRule="exact"/>
        <w:rPr>
          <w:rFonts w:ascii="Arial" w:cs="Arial" w:eastAsia="Arial" w:hAnsi="Arial"/>
          <w:sz w:val="18"/>
          <w:szCs w:val="18"/>
          <w:color w:val="auto"/>
        </w:rPr>
      </w:pPr>
    </w:p>
    <w:p>
      <w:pPr>
        <w:ind w:right="420" w:firstLine="443"/>
        <w:spacing w:after="0" w:line="277" w:lineRule="auto"/>
        <w:tabs>
          <w:tab w:leader="none" w:pos="783" w:val="left"/>
        </w:tabs>
        <w:numPr>
          <w:ilvl w:val="1"/>
          <w:numId w:val="8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Uniform Commercial Code on items in the course of collection,</w:t>
      </w:r>
    </w:p>
    <w:p>
      <w:pPr>
        <w:spacing w:after="0" w:line="23" w:lineRule="exact"/>
        <w:rPr>
          <w:sz w:val="20"/>
          <w:szCs w:val="20"/>
          <w:color w:val="auto"/>
        </w:rPr>
      </w:pPr>
    </w:p>
    <w:p>
      <w:pPr>
        <w:ind w:right="240" w:firstLine="4"/>
        <w:spacing w:after="0" w:line="255" w:lineRule="auto"/>
        <w:tabs>
          <w:tab w:leader="none" w:pos="2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spacing w:after="0" w:line="82" w:lineRule="exact"/>
        <w:rPr>
          <w:rFonts w:ascii="Arial" w:cs="Arial" w:eastAsia="Arial" w:hAnsi="Arial"/>
          <w:sz w:val="18"/>
          <w:szCs w:val="18"/>
          <w:color w:val="auto"/>
        </w:rPr>
      </w:pPr>
    </w:p>
    <w:p>
      <w:pPr>
        <w:ind w:right="340" w:firstLine="443"/>
        <w:spacing w:after="0" w:line="277" w:lineRule="auto"/>
        <w:tabs>
          <w:tab w:leader="none" w:pos="783" w:val="left"/>
        </w:tabs>
        <w:numPr>
          <w:ilvl w:val="1"/>
          <w:numId w:val="86"/>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permitted under Section 4.09 hereof; provided that such Liens do not extend to any assets other than those that are the subject of such repurchase agreement;</w:t>
      </w:r>
    </w:p>
    <w:p>
      <w:pPr>
        <w:spacing w:after="0" w:line="62" w:lineRule="exact"/>
        <w:rPr>
          <w:rFonts w:ascii="Arial" w:cs="Arial" w:eastAsia="Arial" w:hAnsi="Arial"/>
          <w:sz w:val="18"/>
          <w:szCs w:val="18"/>
          <w:color w:val="auto"/>
        </w:rPr>
      </w:pPr>
    </w:p>
    <w:p>
      <w:pPr>
        <w:ind w:right="100" w:firstLine="443"/>
        <w:spacing w:after="0" w:line="277" w:lineRule="auto"/>
        <w:tabs>
          <w:tab w:leader="none" w:pos="783" w:val="left"/>
        </w:tabs>
        <w:numPr>
          <w:ilvl w:val="1"/>
          <w:numId w:val="86"/>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62" w:lineRule="exact"/>
        <w:rPr>
          <w:rFonts w:ascii="Arial" w:cs="Arial" w:eastAsia="Arial" w:hAnsi="Arial"/>
          <w:sz w:val="18"/>
          <w:szCs w:val="18"/>
          <w:color w:val="auto"/>
        </w:rPr>
      </w:pPr>
    </w:p>
    <w:p>
      <w:pPr>
        <w:jc w:val="both"/>
        <w:ind w:firstLine="443"/>
        <w:spacing w:after="0" w:line="302" w:lineRule="auto"/>
        <w:tabs>
          <w:tab w:leader="none" w:pos="783" w:val="left"/>
        </w:tabs>
        <w:numPr>
          <w:ilvl w:val="1"/>
          <w:numId w:val="86"/>
        </w:numPr>
        <w:rPr>
          <w:rFonts w:ascii="Arial" w:cs="Arial" w:eastAsia="Arial" w:hAnsi="Arial"/>
          <w:sz w:val="16"/>
          <w:szCs w:val="16"/>
          <w:color w:val="auto"/>
        </w:rPr>
      </w:pPr>
      <w:r>
        <w:rPr>
          <w:rFonts w:ascii="Arial" w:cs="Arial" w:eastAsia="Arial" w:hAnsi="Arial"/>
          <w:sz w:val="16"/>
          <w:szCs w:val="16"/>
          <w:color w:val="auto"/>
        </w:rPr>
        <w:t>Liens that are contractual rights of set-off (i) relating to the establishment of depository relations with banks not given in connection with the issuance of Indebtedness, (ii) relating to pooled deposit or sweep accounts of the Company or any of its Restricted Subsidiaries to permit satisfaction of overdraft or similar obligations incurred in the ordinary course of business of the Company and its Restricted Subsidiaries or (iii) relating to purchase orders and other agreements entered into with customers of the Company or any of its Restricted Subsidiaries in the ordinary course of business;</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700" w:top="274" w:right="259" w:bottom="1440" w:gutter="0" w:footer="0" w:header="0"/>
        </w:sectPr>
      </w:pPr>
    </w:p>
    <w:bookmarkStart w:id="68" w:name="page69"/>
    <w:bookmarkEnd w:id="68"/>
    <w:p>
      <w:pPr>
        <w:ind w:left="460" w:right="500" w:firstLine="443"/>
        <w:spacing w:after="0" w:line="264" w:lineRule="auto"/>
        <w:tabs>
          <w:tab w:leader="none" w:pos="1243"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securing obligations owed by the Company or any Restricted Subsidiary to any lender under the Senior Credit Facilities or any Affiliate of such a lender in respect of any overdraft and related liabilities arising from treasury, depository and cash management services or any automated clearing house transfers of funds;</w:t>
      </w:r>
    </w:p>
    <w:p>
      <w:pPr>
        <w:spacing w:after="0" w:line="73" w:lineRule="exact"/>
        <w:rPr>
          <w:rFonts w:ascii="Arial" w:cs="Arial" w:eastAsia="Arial" w:hAnsi="Arial"/>
          <w:sz w:val="18"/>
          <w:szCs w:val="18"/>
          <w:color w:val="auto"/>
        </w:rPr>
      </w:pPr>
    </w:p>
    <w:p>
      <w:pPr>
        <w:ind w:left="460" w:firstLine="443"/>
        <w:spacing w:after="0" w:line="279" w:lineRule="auto"/>
        <w:tabs>
          <w:tab w:leader="none" w:pos="1243" w:val="left"/>
        </w:tabs>
        <w:numPr>
          <w:ilvl w:val="0"/>
          <w:numId w:val="87"/>
        </w:numPr>
        <w:rPr>
          <w:rFonts w:ascii="Arial" w:cs="Arial" w:eastAsia="Arial" w:hAnsi="Arial"/>
          <w:sz w:val="17"/>
          <w:szCs w:val="17"/>
          <w:color w:val="auto"/>
        </w:rPr>
      </w:pPr>
      <w:r>
        <w:rPr>
          <w:rFonts w:ascii="Arial" w:cs="Arial" w:eastAsia="Arial" w:hAnsi="Arial"/>
          <w:sz w:val="17"/>
          <w:szCs w:val="17"/>
          <w:color w:val="auto"/>
        </w:rPr>
        <w:t>Liens securing Indebtedness the proceeds of which are used to develop or construct new facilities (or any improvements to existing facilities) or equipment (or any improvements to existing equipment) designed primarily for the purpose of air or water pollutions control; provided that such Indebtedness is permitted to be incurred by the terms of this Indenture and such Liens do not extend to any assets of the Company or its Restricted Subsidiaries other than the assets acquired or improved with the proceeds of the Indebtedness secured by such Lien; and</w:t>
      </w:r>
    </w:p>
    <w:p>
      <w:pPr>
        <w:spacing w:after="0" w:line="63" w:lineRule="exact"/>
        <w:rPr>
          <w:rFonts w:ascii="Arial" w:cs="Arial" w:eastAsia="Arial" w:hAnsi="Arial"/>
          <w:sz w:val="17"/>
          <w:szCs w:val="17"/>
          <w:color w:val="auto"/>
        </w:rPr>
      </w:pPr>
    </w:p>
    <w:p>
      <w:pPr>
        <w:ind w:left="460" w:right="940" w:firstLine="443"/>
        <w:spacing w:after="0" w:line="277" w:lineRule="auto"/>
        <w:tabs>
          <w:tab w:leader="none" w:pos="124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or similar arrangement pursuant to any joint venture or similar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purposes of this definition, the term “Indebtedness” shall be deemed to include interest on such Indebtedness. The Permitted Liens listed in</w:t>
      </w:r>
    </w:p>
    <w:p>
      <w:pPr>
        <w:spacing w:after="0" w:line="46" w:lineRule="exact"/>
        <w:rPr>
          <w:sz w:val="20"/>
          <w:szCs w:val="20"/>
          <w:color w:val="auto"/>
        </w:rPr>
      </w:pPr>
    </w:p>
    <w:p>
      <w:pPr>
        <w:ind w:right="160" w:firstLine="8"/>
        <w:spacing w:after="0" w:line="323"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and (7) may grant priority in right of payment to the Credit Facilities Obligations secured thereby, and to Hedging Obligations provided by any lender or letter of credit issuer (or any affiliate thereof) under the Revolving Credit Facility, but only for an aggregate principal amount not exceeding €750 million.</w:t>
      </w:r>
    </w:p>
    <w:p>
      <w:pPr>
        <w:spacing w:after="0" w:line="139"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government or any agency or political subdivision thereof or any other entity.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means any Equity Interest with preferential rights of payment of dividends or upon liquidation, dissolution, or winding up.</w:t>
      </w:r>
    </w:p>
    <w:p>
      <w:pPr>
        <w:spacing w:after="0" w:line="23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Legend</w:t>
      </w:r>
      <w:r>
        <w:rPr>
          <w:rFonts w:ascii="Arial" w:cs="Arial" w:eastAsia="Arial" w:hAnsi="Arial"/>
          <w:sz w:val="18"/>
          <w:szCs w:val="18"/>
          <w:color w:val="auto"/>
        </w:rPr>
        <w:t>” means the legend set forth in Section 2.06(f)(i) hereof to be placed on all Notes issued under this Indenture, except where otherwise permitted by the provisions of this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Proceeds</w:t>
      </w:r>
      <w:r>
        <w:rPr>
          <w:rFonts w:ascii="Arial" w:cs="Arial" w:eastAsia="Arial" w:hAnsi="Arial"/>
          <w:sz w:val="17"/>
          <w:szCs w:val="17"/>
          <w:color w:val="auto"/>
        </w:rPr>
        <w:t>” means the fair market value of assets that are used or useful in, or Capital Stock of any Person engaged in, a Similar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Securitization Facility</w:t>
      </w:r>
      <w:r>
        <w:rPr>
          <w:rFonts w:ascii="Arial" w:cs="Arial" w:eastAsia="Arial" w:hAnsi="Arial"/>
          <w:sz w:val="17"/>
          <w:szCs w:val="17"/>
          <w:color w:val="auto"/>
        </w:rPr>
        <w:t>” means any Securitization Facility (a) constituting a securitization financing facility that meets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conditions: (1) the board of directors of the Company shall have determined in good faith that such Securitization Facility (including financing terms,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covenants, termination events and other provisions) is in the aggregate economically fair and reasonable to the Company and the applicable Securitization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(2) all sales and/or contributions of Securitization Assets and related assets to the applicable Securitization Subsidiary are made at fair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(as determined in good faith by the Company) and (3) the financing terms, covenants, termination events and other provisions thereof shall be market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(as determined in good faith by the Company) or (b) constituting a receivables financing facility.</w:t>
      </w:r>
    </w:p>
    <w:p>
      <w:pPr>
        <w:spacing w:after="0" w:line="211"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Agencies</w:t>
      </w:r>
      <w:r>
        <w:rPr>
          <w:rFonts w:ascii="Arial" w:cs="Arial" w:eastAsia="Arial" w:hAnsi="Arial"/>
          <w:sz w:val="18"/>
          <w:szCs w:val="18"/>
          <w:color w:val="auto"/>
        </w:rPr>
        <w:t>” means Moody’s and S&amp;P or if Moody’s or S&amp;P or both shall not make a rating on the Notes publicly available, a nationally recognized statistical rating agency or agencies, as the case may be, selected by the Issuer which shall be substituted for Moody’s or S&amp;P or both, as the case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69" w:name="page70"/>
    <w:bookmarkEnd w:id="69"/>
    <w:p>
      <w:pPr>
        <w:ind w:right="3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Record Date</w:t>
      </w:r>
      <w:r>
        <w:rPr>
          <w:rFonts w:ascii="Arial" w:cs="Arial" w:eastAsia="Arial" w:hAnsi="Arial"/>
          <w:sz w:val="18"/>
          <w:szCs w:val="18"/>
          <w:color w:val="auto"/>
        </w:rPr>
        <w:t>” for the interest payable on any applicable Interest Payment Date means the May 1 or November 1 (whether or not a Business Day) immediately preceding such Interest Payment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Global Note</w:t>
      </w:r>
      <w:r>
        <w:rPr>
          <w:rFonts w:ascii="Arial" w:cs="Arial" w:eastAsia="Arial" w:hAnsi="Arial"/>
          <w:sz w:val="18"/>
          <w:szCs w:val="18"/>
          <w:color w:val="auto"/>
        </w:rPr>
        <w:t>” means a Regulation S Temporary Global Note or Regulation S Permanent Global Note, as applicable.</w:t>
      </w:r>
    </w:p>
    <w:p>
      <w:pPr>
        <w:spacing w:after="0" w:line="225"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S Permanent Global Note</w:t>
      </w:r>
      <w:r>
        <w:rPr>
          <w:rFonts w:ascii="Arial" w:cs="Arial" w:eastAsia="Arial" w:hAnsi="Arial"/>
          <w:sz w:val="16"/>
          <w:szCs w:val="16"/>
          <w:color w:val="auto"/>
        </w:rPr>
        <w:t>” means a permanent Global Note in the form of Exhibit A hereto, bearing the Global Note Legend and the Private Placement Legend and deposited with or on behalf of and registered in the name of the Depositary or its nominee, issued in a denomination equal to the outstanding principal amount of the Regulation S Temporary Global Note of the applicable series upon expiration of the Restricted Period.</w:t>
      </w:r>
    </w:p>
    <w:p>
      <w:pPr>
        <w:spacing w:after="0" w:line="14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Temporary Global Note</w:t>
      </w:r>
      <w:r>
        <w:rPr>
          <w:rFonts w:ascii="Arial" w:cs="Arial" w:eastAsia="Arial" w:hAnsi="Arial"/>
          <w:sz w:val="18"/>
          <w:szCs w:val="18"/>
          <w:color w:val="auto"/>
        </w:rPr>
        <w:t>” means a temporary Global Note in the form of Exhibit A hereto, bearing the Global Note Legend, the Private Placement Legend and the Regulation S Temporary Global Note Legend and deposited with or on behalf of and registered in the name of the Depositary or its nominee, issued in a denomination equal to the outstanding principal amount of the Notes of the applicable series initially sold in reliance on Rule 903.</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Temporary Global Note Legend</w:t>
      </w:r>
      <w:r>
        <w:rPr>
          <w:rFonts w:ascii="Arial" w:cs="Arial" w:eastAsia="Arial" w:hAnsi="Arial"/>
          <w:sz w:val="18"/>
          <w:szCs w:val="18"/>
          <w:color w:val="auto"/>
        </w:rPr>
        <w:t>” means the legend set forth in Section 2.06(f)(iii) hereof.</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 Assets</w:t>
      </w:r>
      <w:r>
        <w:rPr>
          <w:rFonts w:ascii="Arial" w:cs="Arial" w:eastAsia="Arial" w:hAnsi="Arial"/>
          <w:sz w:val="18"/>
          <w:szCs w:val="18"/>
          <w:color w:val="auto"/>
        </w:rPr>
        <w:t>” means assets (other than cash or Cash Equivalents) used or useful in a Similar Business, provided that any assets received by the Company or a Restricted Subsidiary in exchange for assets transferred by the Company or a Restricted Subsidiary shall not be deemed to be Related Business Assets if they consist of securities of a Person, unless upon receipt of the securities of such Person, such Person would become a Restricted Subsidiary.</w:t>
      </w:r>
    </w:p>
    <w:p>
      <w:pPr>
        <w:spacing w:after="0" w:line="187"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Definitive Note</w:t>
      </w:r>
      <w:r>
        <w:rPr>
          <w:rFonts w:ascii="Arial" w:cs="Arial" w:eastAsia="Arial" w:hAnsi="Arial"/>
          <w:sz w:val="18"/>
          <w:szCs w:val="18"/>
          <w:color w:val="auto"/>
        </w:rPr>
        <w:t>” means a Definitive Note bearing, or that is required to bear, the Private Placement Legend.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Global Note</w:t>
      </w:r>
      <w:r>
        <w:rPr>
          <w:rFonts w:ascii="Arial" w:cs="Arial" w:eastAsia="Arial" w:hAnsi="Arial"/>
          <w:sz w:val="18"/>
          <w:szCs w:val="18"/>
          <w:color w:val="auto"/>
        </w:rPr>
        <w:t>” means a Global Note bearing, or that is required to bear, the Private Placement Legend.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Parent Guarantor</w:t>
      </w:r>
      <w:r>
        <w:rPr>
          <w:rFonts w:ascii="Arial" w:cs="Arial" w:eastAsia="Arial" w:hAnsi="Arial"/>
          <w:sz w:val="18"/>
          <w:szCs w:val="18"/>
          <w:color w:val="auto"/>
        </w:rPr>
        <w:t>” means the Company, Holdings I, Holdings II, Holdings III, Holdings IV and Holdings V.</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70" w:name="page71"/>
    <w:bookmarkEnd w:id="7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at any time, Holdings I, Holdings II, Holdings III, Holdings IV, Holdings V, the Issuer and any other direct or indirect Subsidiary of the Company (including any Foreign Subsidiary) that is not then an Unrestricted Subsidiary; provided, that upon an Unrestricted Subsidiary ceasing to be an Unrestricted Subsidiary, such Subsidiary shall be included in the definition of “Restricted Subsidiary” if it is then a Subsidiary of the Company.</w:t>
      </w:r>
    </w:p>
    <w:p>
      <w:pPr>
        <w:spacing w:after="0" w:line="18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means the $600 million super senior secured revolving credit facility entered into as of the Merger Date by and among NXP Holdings, the Company, NXP Funding LLC, the other Restricted Subsidiaries party thereto, the lenders party thereto in their capacities as lenders thereunder and the administrative agent named therein, including any guarantees, collateral documents, instruments and agreements executed in connection therewith, and any amendments, supplements, modifications, extensions, renewals, restatements, refundings or refinancings thereof and any indentures or credit facilities or commercial paper facilities with banks or other institutional lenders or investors that replace, refund or refinance any part of the loans, notes, other credit facilities or commitments thereunder, including any such replacement, refunding or refinancing facility or indenture that increases the amount borrowable thereunder or alters the maturity thereof (provided that such increase in borrowings is permitted under Section 4.09 hereof).</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and any successor to its rating agency business.</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Guarantors</w:t>
      </w:r>
      <w:r>
        <w:rPr>
          <w:rFonts w:ascii="Arial" w:cs="Arial" w:eastAsia="Arial" w:hAnsi="Arial"/>
          <w:sz w:val="18"/>
          <w:szCs w:val="18"/>
          <w:color w:val="auto"/>
        </w:rPr>
        <w:t>” means the Restricted Parent Guarantors, the Domestic Subsidiary Guarantors and the Foreign Subsidiary Guarantors providing secured Guarantees.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Indebtedness</w:t>
      </w:r>
      <w:r>
        <w:rPr>
          <w:rFonts w:ascii="Arial" w:cs="Arial" w:eastAsia="Arial" w:hAnsi="Arial"/>
          <w:sz w:val="18"/>
          <w:szCs w:val="18"/>
          <w:color w:val="auto"/>
        </w:rPr>
        <w:t>” means any Indebtedness of the Company or any of its Restricted Subsidiaries secured by a Lien.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Senior Credit Agreement Secured Parties and the Additional First Lien Debt Parties.</w:t>
      </w:r>
    </w:p>
    <w:p>
      <w:pPr>
        <w:spacing w:after="0" w:line="225"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promulgated thereunder. 33</w:t>
      </w:r>
    </w:p>
    <w:p>
      <w:pPr>
        <w:sectPr>
          <w:pgSz w:w="11900" w:h="16838" w:orient="portrait"/>
          <w:cols w:equalWidth="0" w:num="1">
            <w:col w:w="11400"/>
          </w:cols>
          <w:pgMar w:left="240" w:top="274" w:right="259" w:bottom="1440" w:gutter="0" w:footer="0" w:header="0"/>
        </w:sectPr>
      </w:pPr>
    </w:p>
    <w:bookmarkStart w:id="71" w:name="page72"/>
    <w:bookmarkEnd w:id="71"/>
    <w:p>
      <w:pPr>
        <w:ind w:right="4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Securitization Assets</w:t>
      </w:r>
      <w:r>
        <w:rPr>
          <w:rFonts w:ascii="Arial" w:cs="Arial" w:eastAsia="Arial" w:hAnsi="Arial"/>
          <w:sz w:val="18"/>
          <w:szCs w:val="18"/>
          <w:color w:val="auto"/>
        </w:rPr>
        <w:t>” means the accounts receivable, royalty or other revenue streams and other rights to payment related to the Specified Contract Rights subject to a Qualified Securitization Facility that is a securitization financing facility (and not a receivables financing facility) and the proceeds thereof.</w:t>
      </w:r>
    </w:p>
    <w:p>
      <w:pPr>
        <w:spacing w:after="0" w:line="1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Facility</w:t>
      </w:r>
      <w:r>
        <w:rPr>
          <w:rFonts w:ascii="Arial" w:cs="Arial" w:eastAsia="Arial" w:hAnsi="Arial"/>
          <w:sz w:val="18"/>
          <w:szCs w:val="18"/>
          <w:color w:val="auto"/>
        </w:rPr>
        <w:t>” means any of one or more receivables or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the Company or any of its Restricted Subsidiaries (other than a Securitization Subsidiary) pursuant to which the Company or any of its Restricted Subsidiaries sells or grants a security interest in its accounts receivable or Securitization Assets or assets related thereto to either (a) a Person that is not a Restricted Subsidiary or (b) a Securitization Subsidiary that in turn sells its accounts receivable to a Person that is not a Restricted Subsidiary.</w:t>
      </w:r>
    </w:p>
    <w:p>
      <w:pPr>
        <w:spacing w:after="0" w:line="193"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Fees</w:t>
      </w:r>
      <w:r>
        <w:rPr>
          <w:rFonts w:ascii="Arial" w:cs="Arial" w:eastAsia="Arial" w:hAnsi="Arial"/>
          <w:sz w:val="16"/>
          <w:szCs w:val="16"/>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Financing.</w:t>
      </w:r>
    </w:p>
    <w:p>
      <w:pPr>
        <w:spacing w:after="0" w:line="124"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Subsidiary</w:t>
      </w:r>
      <w:r>
        <w:rPr>
          <w:rFonts w:ascii="Arial" w:cs="Arial" w:eastAsia="Arial" w:hAnsi="Arial"/>
          <w:sz w:val="18"/>
          <w:szCs w:val="18"/>
          <w:color w:val="auto"/>
        </w:rPr>
        <w:t>” means any Subsidiary formed for the purpose of, and that solely engages only in one or more Qualified Securitization Facilities and other activities reasonably related thereto.</w:t>
      </w:r>
    </w:p>
    <w:p>
      <w:pPr>
        <w:spacing w:after="0" w:line="170" w:lineRule="exact"/>
        <w:rPr>
          <w:sz w:val="20"/>
          <w:szCs w:val="20"/>
          <w:color w:val="auto"/>
        </w:rPr>
      </w:pPr>
    </w:p>
    <w:p>
      <w:pPr>
        <w:jc w:val="both"/>
        <w:ind w:right="1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means the security agreement dated as of May 21, 2013, among the Issuer, Holdings IV, SigmaTel, the subsidiaries of Holdings III from time to time party thereto and the Collateral Agent, as amended, supplemented, modified, extended, renewed or restated from time to time.</w:t>
      </w:r>
    </w:p>
    <w:p>
      <w:pPr>
        <w:spacing w:after="0" w:line="124" w:lineRule="exact"/>
        <w:rPr>
          <w:sz w:val="20"/>
          <w:szCs w:val="20"/>
          <w:color w:val="auto"/>
        </w:rPr>
      </w:pPr>
    </w:p>
    <w:p>
      <w:pPr>
        <w:jc w:val="both"/>
        <w:ind w:right="10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Credit Agreement Collateral Documents</w:t>
      </w:r>
      <w:r>
        <w:rPr>
          <w:rFonts w:ascii="Arial" w:cs="Arial" w:eastAsia="Arial" w:hAnsi="Arial"/>
          <w:sz w:val="17"/>
          <w:szCs w:val="17"/>
          <w:color w:val="auto"/>
        </w:rPr>
        <w:t>” means each security agreement, each intellectual property security agreement, each mortgage, each pledge of shares, each pledge of receivables, each pledge of moveable assets, the security agreement supplements and each other agreement, instrument or other document entered into in favor of the collateral agents under the Senior Credit Facilities Documents, the Collateral Agent or any of the other Senior Credit Agreement Secured Parties for purposes of securing the Senior Credit Agreement Obligations.</w:t>
      </w:r>
    </w:p>
    <w:p>
      <w:pPr>
        <w:spacing w:after="0" w:line="17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Credit Agreement Obligations</w:t>
      </w:r>
      <w:r>
        <w:rPr>
          <w:rFonts w:ascii="Arial" w:cs="Arial" w:eastAsia="Arial" w:hAnsi="Arial"/>
          <w:sz w:val="18"/>
          <w:szCs w:val="18"/>
          <w:color w:val="auto"/>
        </w:rPr>
        <w:t>” has the meaning assigned to the term “Secured Obligations” in the Revolving Credit Facility and/or the Term Loan Facilities (as the case may be).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Credit Agreement Secured Parties</w:t>
      </w:r>
      <w:r>
        <w:rPr>
          <w:rFonts w:ascii="Arial" w:cs="Arial" w:eastAsia="Arial" w:hAnsi="Arial"/>
          <w:sz w:val="18"/>
          <w:szCs w:val="18"/>
          <w:color w:val="auto"/>
        </w:rPr>
        <w:t>” has the meaning assigned to the term “Secured Parties” in the Revolving Credit Facility and/or the Term Loan Facilities (as applicable).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Credit Facilities</w:t>
      </w:r>
      <w:r>
        <w:rPr>
          <w:rFonts w:ascii="Arial" w:cs="Arial" w:eastAsia="Arial" w:hAnsi="Arial"/>
          <w:sz w:val="18"/>
          <w:szCs w:val="18"/>
          <w:color w:val="auto"/>
        </w:rPr>
        <w:t>” means the Revolving Credit Facility and the Term Loan Facilities.</w:t>
      </w:r>
    </w:p>
    <w:p>
      <w:pPr>
        <w:spacing w:after="0" w:line="225" w:lineRule="exact"/>
        <w:rPr>
          <w:sz w:val="20"/>
          <w:szCs w:val="20"/>
          <w:color w:val="auto"/>
        </w:rPr>
      </w:pPr>
    </w:p>
    <w:p>
      <w:pPr>
        <w:ind w:right="3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Credit Facilities Documents</w:t>
      </w:r>
      <w:r>
        <w:rPr>
          <w:rFonts w:ascii="Arial" w:cs="Arial" w:eastAsia="Arial" w:hAnsi="Arial"/>
          <w:sz w:val="16"/>
          <w:szCs w:val="16"/>
          <w:color w:val="auto"/>
        </w:rPr>
        <w:t>” means the Senior Credit Facilities, any promissory notes issued to any lender pursuant to the Revolving Credit Facility and /or the Term Loan Facilities (as applicable), the Senior Credit Agreement Collateral Documents and each other Loan Document (as defined in the Senior Credit Facilities), as the same may be amended, restated, supplemented or otherwise modified from time to time.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means: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72" w:name="page73"/>
    <w:bookmarkEnd w:id="72"/>
    <w:p>
      <w:pPr>
        <w:ind w:left="460" w:right="20" w:firstLine="443"/>
        <w:spacing w:after="0" w:line="255" w:lineRule="auto"/>
        <w:tabs>
          <w:tab w:leader="none" w:pos="1153"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Indebtedness of the Issuer or any Guarantor outstanding under the Senior Credit Facilities, the Existing Secured Notes and the related Guarantees, the Notes and related Guarantees and the NXP Notes and related Guarantees (including interest accruing on or after the filing of any petition in bankruptcy or similar proceeding or for reorganization of the Issuer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Issue Date or thereafter created or incurred) and all obligations of the Issuer or any Guarantor to reimburse any bank or other Person in respect of amounts paid under letters of credit, acceptances or other similar instruments;</w:t>
      </w:r>
    </w:p>
    <w:p>
      <w:pPr>
        <w:spacing w:after="0" w:line="81" w:lineRule="exact"/>
        <w:rPr>
          <w:rFonts w:ascii="Arial" w:cs="Arial" w:eastAsia="Arial" w:hAnsi="Arial"/>
          <w:sz w:val="18"/>
          <w:szCs w:val="18"/>
          <w:color w:val="auto"/>
        </w:rPr>
      </w:pPr>
    </w:p>
    <w:p>
      <w:pPr>
        <w:jc w:val="both"/>
        <w:ind w:left="460" w:firstLine="443"/>
        <w:spacing w:after="0" w:line="286" w:lineRule="auto"/>
        <w:tabs>
          <w:tab w:leader="none" w:pos="1153"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all Hedging Obligations (and guarantees thereof) owing to a Lender (as defined in the Senior Credit Facilities) or any Affiliate of such Lender (or any Person that was a Lender or an Affiliate of such Lender at the time the applicable agreement giving rise to such Hedging Obligation was entered into), provided that such Hedging Obligations are permitted to be incurred under the terms of this Indenture;</w:t>
      </w:r>
    </w:p>
    <w:p>
      <w:pPr>
        <w:spacing w:after="0" w:line="57" w:lineRule="exact"/>
        <w:rPr>
          <w:rFonts w:ascii="Arial" w:cs="Arial" w:eastAsia="Arial" w:hAnsi="Arial"/>
          <w:sz w:val="17"/>
          <w:szCs w:val="17"/>
          <w:color w:val="auto"/>
        </w:rPr>
      </w:pPr>
    </w:p>
    <w:p>
      <w:pPr>
        <w:ind w:left="460" w:right="140" w:firstLine="443"/>
        <w:spacing w:after="0" w:line="264" w:lineRule="auto"/>
        <w:tabs>
          <w:tab w:leader="none" w:pos="11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Indebtedness of the Issuer or any Guarantor permitted to be incurred under the terms of this Indenture, unless the instrument under which such Indebtedness is incurred expressly provides that it is on a parity with or subordinated in right of payment to the Existing Senior Subordinated Notes or any related Guarantee, if such notes or guarantee were still outstanding;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Obligations with respect to the items listed in the preceding clauses (1), (2) and (3);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Senior Indebtedness shall not include:</w:t>
      </w:r>
    </w:p>
    <w:p>
      <w:pPr>
        <w:spacing w:after="0" w:line="117" w:lineRule="exact"/>
        <w:rPr>
          <w:sz w:val="20"/>
          <w:szCs w:val="20"/>
          <w:color w:val="auto"/>
        </w:rPr>
      </w:pPr>
    </w:p>
    <w:p>
      <w:pPr>
        <w:ind w:left="1580" w:hanging="239"/>
        <w:spacing w:after="0"/>
        <w:tabs>
          <w:tab w:leader="none" w:pos="1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obligation of such Person to the Company or any of its Subsidiaries;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such Person;</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accounts payable or other liability to trade creditors arising in the ordinary course of business;</w:t>
      </w:r>
    </w:p>
    <w:p>
      <w:pPr>
        <w:spacing w:after="0" w:line="117" w:lineRule="exact"/>
        <w:rPr>
          <w:rFonts w:ascii="Arial" w:cs="Arial" w:eastAsia="Arial" w:hAnsi="Arial"/>
          <w:sz w:val="18"/>
          <w:szCs w:val="18"/>
          <w:color w:val="auto"/>
        </w:rPr>
      </w:pPr>
    </w:p>
    <w:p>
      <w:pPr>
        <w:ind w:left="920" w:right="340" w:firstLine="421"/>
        <w:spacing w:after="0" w:line="286" w:lineRule="auto"/>
        <w:tabs>
          <w:tab w:leader="none" w:pos="1595"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any Indebtedness or other Obligation of such Person which is subordinate or junior in right of payment to any other Indebtedness or other Obligation of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Indebtedness is not deemed to be subordinated or junior to other Indebtedness or Obligations merely because it is unsecured or because it has a junior priority with respect to the same collateral; or</w:t>
      </w:r>
    </w:p>
    <w:p>
      <w:pPr>
        <w:spacing w:after="0" w:line="57" w:lineRule="exact"/>
        <w:rPr>
          <w:rFonts w:ascii="Arial" w:cs="Arial" w:eastAsia="Arial" w:hAnsi="Arial"/>
          <w:sz w:val="17"/>
          <w:szCs w:val="17"/>
          <w:color w:val="auto"/>
        </w:rPr>
      </w:pPr>
    </w:p>
    <w:p>
      <w:pPr>
        <w:ind w:left="1580" w:hanging="239"/>
        <w:spacing w:after="0"/>
        <w:tabs>
          <w:tab w:leader="none" w:pos="1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portion of any Indebtedness which at the time of incurrence is incurred in violation of this Indenture.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SigmaTel</w:t>
      </w:r>
      <w:r>
        <w:rPr>
          <w:rFonts w:ascii="Arial" w:cs="Arial" w:eastAsia="Arial" w:hAnsi="Arial"/>
          <w:sz w:val="18"/>
          <w:szCs w:val="18"/>
          <w:color w:val="auto"/>
        </w:rPr>
        <w:t>” means SigmaTel LLC, a Delaware limited liability company.</w:t>
      </w:r>
    </w:p>
    <w:p>
      <w:pPr>
        <w:spacing w:after="0" w:line="225"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Restricted Subsidiary that would be a “significant subsidiary” as defined in Article 1, Rule 1-02 of Regulation S-X, promulgated pursuant to the Securities Act, as such regulation is in effect on the Issue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73" w:name="page74"/>
    <w:bookmarkEnd w:id="73"/>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Similar Business</w:t>
      </w:r>
      <w:r>
        <w:rPr>
          <w:rFonts w:ascii="Arial" w:cs="Arial" w:eastAsia="Arial" w:hAnsi="Arial"/>
          <w:sz w:val="18"/>
          <w:szCs w:val="18"/>
          <w:color w:val="auto"/>
        </w:rPr>
        <w:t>” means any business conducted or proposed to be conducted by the Company and its Restricted Subsidiaries on the Issue Date and any reasonable extension thereof or any business that is similar, reasonably related, incidental or ancillary thereto.</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Contract Rights</w:t>
      </w:r>
      <w:r>
        <w:rPr>
          <w:rFonts w:ascii="Arial" w:cs="Arial" w:eastAsia="Arial" w:hAnsi="Arial"/>
          <w:sz w:val="18"/>
          <w:szCs w:val="18"/>
          <w:color w:val="auto"/>
        </w:rPr>
        <w:t>” means certain intellectual property licenses, agreements or other contracts giving rise to not more than $100 million of annual accounts receivable, royalty or other intellectual property revenue streams or other rights to payment.</w:t>
      </w:r>
    </w:p>
    <w:p>
      <w:pPr>
        <w:spacing w:after="0" w:line="170"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Foreign Subsidiaries</w:t>
      </w:r>
      <w:r>
        <w:rPr>
          <w:rFonts w:ascii="Arial" w:cs="Arial" w:eastAsia="Arial" w:hAnsi="Arial"/>
          <w:sz w:val="18"/>
          <w:szCs w:val="18"/>
          <w:color w:val="auto"/>
        </w:rPr>
        <w:t>” means each Material Foreign Subsidiary that is not a direct or indirect Subsidiary of Holdings V, each Transferred Foreign Subsidiary and, after its formation, Foreign Acquisition Co.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with respect to the Notes,</w:t>
      </w:r>
    </w:p>
    <w:p>
      <w:pPr>
        <w:spacing w:after="0" w:line="117"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Indebtedness of the Issuer which is by its terms subordinated in right of payment to the Notes,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Indebtedness of any Guarantor which is by its terms subordinated in right of payment to the Guarantee of such entity of the Notes.</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460" w:right="100" w:firstLine="443"/>
        <w:spacing w:after="0" w:line="302" w:lineRule="auto"/>
        <w:tabs>
          <w:tab w:leader="none" w:pos="1153"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 is consolidated under GAAP with such Person at such time; and</w:t>
      </w:r>
    </w:p>
    <w:p>
      <w:pPr>
        <w:spacing w:after="0" w:line="46" w:lineRule="exact"/>
        <w:rPr>
          <w:rFonts w:ascii="Arial" w:cs="Arial" w:eastAsia="Arial" w:hAnsi="Arial"/>
          <w:sz w:val="16"/>
          <w:szCs w:val="16"/>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117" w:lineRule="exact"/>
        <w:rPr>
          <w:rFonts w:ascii="Arial" w:cs="Arial" w:eastAsia="Arial" w:hAnsi="Arial"/>
          <w:sz w:val="18"/>
          <w:szCs w:val="18"/>
          <w:color w:val="auto"/>
        </w:rPr>
      </w:pPr>
    </w:p>
    <w:p>
      <w:pPr>
        <w:ind w:left="1500" w:right="300" w:firstLine="389"/>
        <w:spacing w:after="0" w:line="312" w:lineRule="auto"/>
        <w:tabs>
          <w:tab w:leader="none" w:pos="2152" w:val="left"/>
        </w:tabs>
        <w:numPr>
          <w:ilvl w:val="1"/>
          <w:numId w:val="92"/>
        </w:numPr>
        <w:rPr>
          <w:rFonts w:ascii="Arial" w:cs="Arial" w:eastAsia="Arial" w:hAnsi="Arial"/>
          <w:sz w:val="16"/>
          <w:szCs w:val="16"/>
          <w:color w:val="auto"/>
        </w:rPr>
      </w:pPr>
      <w:r>
        <w:rPr>
          <w:rFonts w:ascii="Arial" w:cs="Arial" w:eastAsia="Arial" w:hAnsi="Arial"/>
          <w:sz w:val="16"/>
          <w:szCs w:val="16"/>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spacing w:after="0" w:line="38" w:lineRule="exact"/>
        <w:rPr>
          <w:rFonts w:ascii="Arial" w:cs="Arial" w:eastAsia="Arial" w:hAnsi="Arial"/>
          <w:sz w:val="16"/>
          <w:szCs w:val="16"/>
          <w:color w:val="auto"/>
        </w:rPr>
      </w:pPr>
    </w:p>
    <w:p>
      <w:pPr>
        <w:ind w:left="2140" w:hanging="251"/>
        <w:spacing w:after="0"/>
        <w:tabs>
          <w:tab w:leader="none" w:pos="21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such Person or any Restricted Subsidiary of such Person is a controlling general partner or otherwise controls such entity.</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each Guarantor other than the Parent Guarantors.</w:t>
      </w:r>
    </w:p>
    <w:p>
      <w:pPr>
        <w:spacing w:after="0" w:line="225"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Facilities</w:t>
      </w:r>
      <w:r>
        <w:rPr>
          <w:rFonts w:ascii="Arial" w:cs="Arial" w:eastAsia="Arial" w:hAnsi="Arial"/>
          <w:sz w:val="16"/>
          <w:szCs w:val="16"/>
          <w:color w:val="auto"/>
        </w:rPr>
        <w:t>” means (A) (i) the senior secured B1 term loan facility in an aggregate principal amount of up to $3.25billion and; (ii) the senior secured B2 term loan facility in an aggregate principal amount of up to $3.25billion, entered into as of the Merger Date by and among, the Company, NXP Funding LLC, the other Restricted Subsidiaries party thereto, the lenders party thereto in their capacities as lenders thereunder and the administrative agent named therein, including any guarantees, collateral documents, instruments and agreements executed in connection therewith, and any</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74" w:name="page75"/>
    <w:bookmarkEnd w:id="74"/>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supplements, modifications, extensions, renewals, restatements, refundings or refinancings thereof and any indentures or credit facilities or commercial paper facilities with banks or other institutional lenders or investors that replace, refund or refinance any part of the loans, notes, other credit facilities or commitments thereunder, including any such replacement, refunding or refinancing facility or indenture that increases the amount borrowable thereunder or alters the maturity thereof (provided that such increase in borrowings is permitted under Section 4.09 hereof); and (B) the Existing Term Loan Facilities.</w:t>
      </w:r>
    </w:p>
    <w:p>
      <w:pPr>
        <w:spacing w:after="0" w:line="188"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the total assets of the Company and its Restricted Subsidiaries, determined on a consolidated basis in accordance with GAAP, as shown on the most recent balance sheet of the Company or such other Person as may be expressly stated.</w:t>
      </w:r>
    </w:p>
    <w:p>
      <w:pPr>
        <w:spacing w:after="0" w:line="170"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means the transactions contemplated by the Transaction Agreement, the tender offer and consent solicitation relating to the Old Notes, the issuance of Existing Senior Notes and the Existing Senior Subordinated Notes and borrowings under the senior credit facilities agreement as in effect on the Transaction Date.</w:t>
      </w:r>
    </w:p>
    <w:p>
      <w:pPr>
        <w:spacing w:after="0" w:line="181"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w:t>
      </w:r>
      <w:r>
        <w:rPr>
          <w:rFonts w:ascii="Arial" w:cs="Arial" w:eastAsia="Arial" w:hAnsi="Arial"/>
          <w:sz w:val="18"/>
          <w:szCs w:val="18"/>
          <w:color w:val="auto"/>
        </w:rPr>
        <w:t>” means the Agreement and Plan of Merger, dated as of September 15, 2006 by and among the Issuer, Firestone Acquisition Corporation and Firestone Holdings LLC, as in effect on the Transaction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Date</w:t>
      </w:r>
      <w:r>
        <w:rPr>
          <w:rFonts w:ascii="Arial" w:cs="Arial" w:eastAsia="Arial" w:hAnsi="Arial"/>
          <w:sz w:val="18"/>
          <w:szCs w:val="18"/>
          <w:color w:val="auto"/>
        </w:rPr>
        <w:t>” means December 1, 2006.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Foreign Subsidiary</w:t>
      </w:r>
      <w:r>
        <w:rPr>
          <w:rFonts w:ascii="Arial" w:cs="Arial" w:eastAsia="Arial" w:hAnsi="Arial"/>
          <w:sz w:val="18"/>
          <w:szCs w:val="18"/>
          <w:color w:val="auto"/>
        </w:rPr>
        <w:t>” has the meaning specified in the definition of “</w:t>
      </w:r>
      <w:r>
        <w:rPr>
          <w:rFonts w:ascii="Arial" w:cs="Arial" w:eastAsia="Arial" w:hAnsi="Arial"/>
          <w:sz w:val="18"/>
          <w:szCs w:val="18"/>
          <w:u w:val="single" w:color="auto"/>
          <w:color w:val="auto"/>
        </w:rPr>
        <w:t>Foreign Reorganization</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Rate</w:t>
      </w:r>
      <w:r>
        <w:rPr>
          <w:rFonts w:ascii="Arial" w:cs="Arial" w:eastAsia="Arial" w:hAnsi="Arial"/>
          <w:sz w:val="16"/>
          <w:szCs w:val="16"/>
          <w:color w:val="auto"/>
        </w:rPr>
        <w:t>”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May 15, 2016; provided, that if the period from the Redemption Date to such date is less than one year, the weekly average yield on actually traded United States Treasury securities adjusted to a constant maturity of one year will be used.</w:t>
      </w:r>
    </w:p>
    <w:p>
      <w:pPr>
        <w:spacing w:after="0" w:line="15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Bank of New York Mellon Trust Company, N.A., as trustee,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New York Uniform Commercial Code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Definitive Note</w:t>
      </w:r>
      <w:r>
        <w:rPr>
          <w:rFonts w:ascii="Arial" w:cs="Arial" w:eastAsia="Arial" w:hAnsi="Arial"/>
          <w:sz w:val="16"/>
          <w:szCs w:val="16"/>
          <w:color w:val="auto"/>
        </w:rPr>
        <w:t>” means one or more Definitive Notes that do not bear and are not required to bear the Private Placement Legend.</w:t>
      </w:r>
    </w:p>
    <w:p>
      <w:pPr>
        <w:spacing w:after="0" w:line="24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Global Note</w:t>
      </w:r>
      <w:r>
        <w:rPr>
          <w:rFonts w:ascii="Arial" w:cs="Arial" w:eastAsia="Arial" w:hAnsi="Arial"/>
          <w:sz w:val="18"/>
          <w:szCs w:val="18"/>
          <w:color w:val="auto"/>
        </w:rPr>
        <w:t>” means a permanent Global Note, substantially in the form of Exhibit A attached hereto that bears the Global Note Legend and that has the “Schedule of Exchanges of Interests in the Global Note” attached thereto, and that is deposited with or on behalf of and registered in the name of the Depositary, representing Notes that do not bear the Private Placement Legend.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75" w:name="page76"/>
    <w:bookmarkEnd w:id="75"/>
    <w:p>
      <w:pPr>
        <w:ind w:left="460" w:right="100" w:firstLine="443"/>
        <w:spacing w:after="0" w:line="277" w:lineRule="auto"/>
        <w:tabs>
          <w:tab w:leader="none" w:pos="1153"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Subsidiary of the Company which at the time of determination is an Unrestricted Subsidiary (as designated by the Company, as provided below);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Subsidiary of an Unrestricted Subsidiary.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may designate any Subsidiary of the Company (including any existing Subsidiary and any newly acquired or newly formed Subsidiary but excluding the Issuer and any Subsidiary of the Company as to which the Issuer is a Subsidiary) to be an Unrestricted Subsidiary unless such Subsidiary or any of its Subsidiaries owns any Equity Interests or Indebtedness of, or owns or holds any Lien on, any property of, the Company or any Subsidiary of the Company (other than solely any Subsidiary of the Subsidiary to be so designated); provided that</w:t>
      </w:r>
    </w:p>
    <w:p>
      <w:pPr>
        <w:spacing w:after="0" w:line="79" w:lineRule="exact"/>
        <w:rPr>
          <w:sz w:val="20"/>
          <w:szCs w:val="20"/>
          <w:color w:val="auto"/>
        </w:rPr>
      </w:pPr>
    </w:p>
    <w:p>
      <w:pPr>
        <w:ind w:left="460" w:right="40" w:firstLine="443"/>
        <w:spacing w:after="0" w:line="264" w:lineRule="auto"/>
        <w:tabs>
          <w:tab w:leader="none" w:pos="11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Unrestricted Subsidiary must be an entity of which the Equity Interests entitled to cast at least a majority of the votes that may be cast by all Equity Interests having ordinary voting power for the election of directors or Persons performing a similar function are owned, directly or indirectly, by the Company;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designation complies with Section 4.07 hereof;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Subsidiary to be so designated; and</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its Subsidiaries</w:t>
      </w:r>
    </w:p>
    <w:p>
      <w:pPr>
        <w:spacing w:after="0" w:line="117"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has not at the time of designation, and does not thereafter, create, incur, issue, assume, guarantee or otherwise become directly or indirectly liable with respect to any Indebtedness pursuant to which the lender has recourse to any of the assets of the Company or any Restricted Subsidiary.</w:t>
      </w:r>
    </w:p>
    <w:p>
      <w:pPr>
        <w:spacing w:after="0" w:line="124"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The Company may designate any Unrestricted Subsidiary to be a Restricted Subsidiary; provided that, immediately after giving effect to such designation, no Default shall have occurred and be continuing and either:</w:t>
      </w:r>
    </w:p>
    <w:p>
      <w:pPr>
        <w:spacing w:after="0" w:line="62" w:lineRule="exact"/>
        <w:rPr>
          <w:sz w:val="20"/>
          <w:szCs w:val="20"/>
          <w:color w:val="auto"/>
        </w:rPr>
      </w:pPr>
    </w:p>
    <w:p>
      <w:pPr>
        <w:ind w:left="460" w:right="220" w:firstLine="443"/>
        <w:spacing w:after="0" w:line="277" w:lineRule="auto"/>
        <w:tabs>
          <w:tab w:leader="none" w:pos="11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could incur at least $1.00 of additional Indebtedness pursuant to the Fixed Charge Coverage Test described in Section 4.09(a) hereof; or</w:t>
      </w:r>
    </w:p>
    <w:p>
      <w:pPr>
        <w:spacing w:after="0" w:line="62" w:lineRule="exact"/>
        <w:rPr>
          <w:rFonts w:ascii="Arial" w:cs="Arial" w:eastAsia="Arial" w:hAnsi="Arial"/>
          <w:sz w:val="18"/>
          <w:szCs w:val="18"/>
          <w:color w:val="auto"/>
        </w:rPr>
      </w:pPr>
    </w:p>
    <w:p>
      <w:pPr>
        <w:ind w:left="460" w:right="60" w:firstLine="443"/>
        <w:spacing w:after="0" w:line="342" w:lineRule="auto"/>
        <w:tabs>
          <w:tab w:leader="none" w:pos="1153"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Fixed Charge Coverage Ratio for the Company and its Restricted Subsidiaries would be equal to or greater than such ratio for the Company and its Restricted Subsidiaries immediately prior to such designation, in each case on a pro forma basis taking into account such designation.</w:t>
      </w:r>
    </w:p>
    <w:p>
      <w:pPr>
        <w:spacing w:after="0" w:line="12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Any such designation by the Company shall be notified by the Company to the Trustee by promptly filing with the Trustee a copy of the resolution of the board of directors of the Company or any committee thereof giving effect to such designation and an Officer’s Certificate certifying that such designation complied with the foregoing provisions.</w:t>
      </w:r>
    </w:p>
    <w:p>
      <w:pPr>
        <w:spacing w:after="0" w:line="181" w:lineRule="exact"/>
        <w:rPr>
          <w:sz w:val="20"/>
          <w:szCs w:val="20"/>
          <w:color w:val="auto"/>
        </w:rPr>
      </w:pPr>
    </w:p>
    <w:p>
      <w:pPr>
        <w:ind w:right="32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Dollar Equivalent</w:t>
      </w:r>
      <w:r>
        <w:rPr>
          <w:rFonts w:ascii="Arial" w:cs="Arial" w:eastAsia="Arial" w:hAnsi="Arial"/>
          <w:sz w:val="16"/>
          <w:szCs w:val="16"/>
          <w:color w:val="auto"/>
        </w:rPr>
        <w:t>” means, with respect to any monetary amount in a currency other than U.S. dollars, at any time for the determination thereof, the amount of U.S. dollars obtained by converting such foreign currency involved in such computation into U.S. dollars at the spot rate for the purchase of U.S. dollars with the applicable foreign currency as quoted by Reuters at approximately 10:00 A.M. (New York City time) on such date of determination (or if no such quote is available on such date, on the immediately preceding Business Day for which such a quote is available).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76" w:name="page77"/>
    <w:bookmarkEnd w:id="7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U.S. person as defined in Rule 902(k) under the Securities Act.</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Indebtedness, Disqualified Stock or Preferred Stock, as the case may be, at any date, the quotient obtained by dividing:</w:t>
      </w:r>
    </w:p>
    <w:p>
      <w:pPr>
        <w:spacing w:after="0" w:line="62" w:lineRule="exact"/>
        <w:rPr>
          <w:sz w:val="20"/>
          <w:szCs w:val="20"/>
          <w:color w:val="auto"/>
        </w:rPr>
      </w:pPr>
    </w:p>
    <w:p>
      <w:pPr>
        <w:ind w:left="460" w:right="160" w:firstLine="443"/>
        <w:spacing w:after="0" w:line="264" w:lineRule="auto"/>
        <w:tabs>
          <w:tab w:leader="none" w:pos="115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sum of all such payments.</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with respect to a Subsidiary of any Person, a Subsidiary of such Person, 100% of the outstanding Equity Interests of which (other than directors’ qualifying shares) shall at the time be owned by such Person or by one or more Wholly-Owned Subsidiaries of such Person.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Term</w:t>
            </w:r>
          </w:p>
        </w:tc>
        <w:tc>
          <w:tcPr>
            <w:tcW w:w="3760" w:type="dxa"/>
            <w:vAlign w:val="bottom"/>
            <w:vMerge w:val="restart"/>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Defined in</w:t>
            </w: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6580" w:type="dxa"/>
            <w:vAlign w:val="bottom"/>
          </w:tcPr>
          <w:p>
            <w:pPr>
              <w:spacing w:after="0"/>
              <w:rPr>
                <w:sz w:val="15"/>
                <w:szCs w:val="15"/>
                <w:color w:val="auto"/>
              </w:rPr>
            </w:pPr>
          </w:p>
        </w:tc>
        <w:tc>
          <w:tcPr>
            <w:tcW w:w="66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189"/>
        </w:trPr>
        <w:tc>
          <w:tcPr>
            <w:tcW w:w="4100" w:type="dxa"/>
            <w:vAlign w:val="bottom"/>
            <w:gridSpan w:val="2"/>
          </w:tcPr>
          <w:p>
            <w:pPr>
              <w:spacing w:after="0" w:line="189" w:lineRule="exact"/>
              <w:rPr>
                <w:sz w:val="20"/>
                <w:szCs w:val="20"/>
                <w:color w:val="auto"/>
              </w:rPr>
            </w:pPr>
            <w:r>
              <w:rPr>
                <w:rFonts w:ascii="Arial" w:cs="Arial" w:eastAsia="Arial" w:hAnsi="Arial"/>
                <w:sz w:val="18"/>
                <w:szCs w:val="18"/>
                <w:color w:val="auto"/>
              </w:rPr>
              <w:t>“Acceptable Commitment”</w:t>
            </w:r>
          </w:p>
        </w:tc>
        <w:tc>
          <w:tcPr>
            <w:tcW w:w="6580" w:type="dxa"/>
            <w:vAlign w:val="bottom"/>
          </w:tcPr>
          <w:p>
            <w:pPr>
              <w:spacing w:after="0"/>
              <w:rPr>
                <w:sz w:val="16"/>
                <w:szCs w:val="16"/>
                <w:color w:val="auto"/>
              </w:rPr>
            </w:pPr>
          </w:p>
        </w:tc>
        <w:tc>
          <w:tcPr>
            <w:tcW w:w="6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“Affiliate Transaction”</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“Asset Sale Offer”</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“Authentication Order”</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“Change of Control Offer”</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“Change of Control Payment”</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“Change of Control Payment Date”</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“Covenant Suspension Event”</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“DTC”</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“Excess Proceeds”</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“Excluded Assets”</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“Fixed Charge Coverage Test”</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“Foreign Payor”</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“incur”</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“Initial Lien”</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“Note Register”</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“Offer Amount”</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“Offer Period”</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“Purchase Date”</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“Redemption Date”</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580" w:type="dxa"/>
            <w:vAlign w:val="bottom"/>
          </w:tcPr>
          <w:p>
            <w:pPr>
              <w:jc w:val="right"/>
              <w:ind w:right="4790"/>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“Refinancing Indebtedness”</w:t>
            </w:r>
          </w:p>
        </w:tc>
        <w:tc>
          <w:tcPr>
            <w:tcW w:w="47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“Refunding Capital Stock”</w:t>
            </w:r>
          </w:p>
        </w:tc>
        <w:tc>
          <w:tcPr>
            <w:tcW w:w="47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“Registrar”</w:t>
            </w:r>
          </w:p>
        </w:tc>
        <w:tc>
          <w:tcPr>
            <w:tcW w:w="47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“Relevant Taxing Jurisdiction”</w:t>
            </w:r>
          </w:p>
        </w:tc>
        <w:tc>
          <w:tcPr>
            <w:tcW w:w="470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“Restricted Payments”</w:t>
            </w:r>
          </w:p>
        </w:tc>
        <w:tc>
          <w:tcPr>
            <w:tcW w:w="47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“Reversion Date”</w:t>
            </w:r>
          </w:p>
        </w:tc>
        <w:tc>
          <w:tcPr>
            <w:tcW w:w="470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“Second Commitment”</w:t>
            </w:r>
          </w:p>
        </w:tc>
        <w:tc>
          <w:tcPr>
            <w:tcW w:w="470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“Successor Company”</w:t>
            </w:r>
          </w:p>
        </w:tc>
        <w:tc>
          <w:tcPr>
            <w:tcW w:w="470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“Successor Guarantor”</w:t>
            </w:r>
          </w:p>
        </w:tc>
        <w:tc>
          <w:tcPr>
            <w:tcW w:w="470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“Successor Person”</w:t>
            </w:r>
          </w:p>
        </w:tc>
        <w:tc>
          <w:tcPr>
            <w:tcW w:w="470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“Suspended Covenants”</w:t>
            </w:r>
          </w:p>
        </w:tc>
        <w:tc>
          <w:tcPr>
            <w:tcW w:w="470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“Suspension Date”</w:t>
            </w:r>
          </w:p>
        </w:tc>
        <w:tc>
          <w:tcPr>
            <w:tcW w:w="470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“Suspension Period”</w:t>
            </w:r>
          </w:p>
        </w:tc>
        <w:tc>
          <w:tcPr>
            <w:tcW w:w="470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“Taxes”</w:t>
            </w:r>
          </w:p>
        </w:tc>
        <w:tc>
          <w:tcPr>
            <w:tcW w:w="470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“Treasury Capital Stock”</w:t>
            </w:r>
          </w:p>
        </w:tc>
        <w:tc>
          <w:tcPr>
            <w:tcW w:w="4700" w:type="dxa"/>
            <w:vAlign w:val="bottom"/>
          </w:tcPr>
          <w:p>
            <w:pPr>
              <w:jc w:val="right"/>
              <w:spacing w:after="0"/>
              <w:rPr>
                <w:sz w:val="20"/>
                <w:szCs w:val="20"/>
                <w:color w:val="auto"/>
              </w:rPr>
            </w:pPr>
            <w:r>
              <w:rPr>
                <w:rFonts w:ascii="Arial" w:cs="Arial" w:eastAsia="Arial" w:hAnsi="Arial"/>
                <w:sz w:val="18"/>
                <w:szCs w:val="18"/>
                <w:color w:val="auto"/>
              </w:rPr>
              <w:t>4.07</w:t>
            </w: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Unless the context otherwise requires:</w:t>
      </w:r>
    </w:p>
    <w:p>
      <w:pPr>
        <w:spacing w:after="0" w:line="117" w:lineRule="exact"/>
        <w:rPr>
          <w:sz w:val="20"/>
          <w:szCs w:val="20"/>
          <w:color w:val="auto"/>
        </w:rPr>
      </w:pPr>
    </w:p>
    <w:p>
      <w:pPr>
        <w:ind w:left="1580" w:hanging="239"/>
        <w:spacing w:after="0"/>
        <w:tabs>
          <w:tab w:leader="none" w:pos="1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117" w:lineRule="exact"/>
        <w:rPr>
          <w:rFonts w:ascii="Arial" w:cs="Arial" w:eastAsia="Arial" w:hAnsi="Arial"/>
          <w:sz w:val="18"/>
          <w:szCs w:val="18"/>
          <w:color w:val="auto"/>
        </w:rPr>
      </w:pPr>
    </w:p>
    <w:p>
      <w:pPr>
        <w:ind w:left="920" w:right="140" w:firstLine="421"/>
        <w:spacing w:after="0" w:line="277" w:lineRule="auto"/>
        <w:tabs>
          <w:tab w:leader="none" w:pos="15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shall be deemed to include substitute, replacement or successor sections or rules adopted by the SEC from time to time;</w:t>
      </w:r>
    </w:p>
    <w:p>
      <w:pPr>
        <w:spacing w:after="0" w:line="62" w:lineRule="exact"/>
        <w:rPr>
          <w:rFonts w:ascii="Arial" w:cs="Arial" w:eastAsia="Arial" w:hAnsi="Arial"/>
          <w:sz w:val="18"/>
          <w:szCs w:val="18"/>
          <w:color w:val="auto"/>
        </w:rPr>
      </w:pPr>
    </w:p>
    <w:p>
      <w:pPr>
        <w:ind w:left="920" w:right="120" w:firstLine="421"/>
        <w:spacing w:after="0" w:line="277" w:lineRule="auto"/>
        <w:tabs>
          <w:tab w:leader="none" w:pos="15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“Section” or “clause” refers to an Article, Section or clause, as the case may be, of this Indenture; and</w:t>
      </w:r>
    </w:p>
    <w:p>
      <w:pPr>
        <w:spacing w:after="0" w:line="62" w:lineRule="exact"/>
        <w:rPr>
          <w:rFonts w:ascii="Arial" w:cs="Arial" w:eastAsia="Arial" w:hAnsi="Arial"/>
          <w:sz w:val="18"/>
          <w:szCs w:val="18"/>
          <w:color w:val="auto"/>
        </w:rPr>
      </w:pPr>
    </w:p>
    <w:p>
      <w:pPr>
        <w:ind w:left="920" w:firstLine="421"/>
        <w:spacing w:after="0" w:line="277" w:lineRule="auto"/>
        <w:tabs>
          <w:tab w:leader="none" w:pos="15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any particular Article, Section, clause or other subdivision.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4" w:right="299" w:bottom="1440" w:gutter="0" w:footer="0" w:header="0"/>
        </w:sectPr>
      </w:pPr>
    </w:p>
    <w:bookmarkStart w:id="78" w:name="page79"/>
    <w:bookmarkEnd w:id="7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73" w:lineRule="auto"/>
        <w:tabs>
          <w:tab w:leader="none" w:pos="1158"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Proof of execution of any such instrument or of a writing appointing any such agent, or the holding by any Person of a Note, shall be sufficient for any purpose of this Indenture and (subject to Section 7.01) conclusive in favor of the Trustee and the Issuer, if made in the manner provided in this Section 1.04.</w:t>
      </w:r>
    </w:p>
    <w:p>
      <w:pPr>
        <w:spacing w:after="0" w:line="70" w:lineRule="exact"/>
        <w:rPr>
          <w:rFonts w:ascii="Arial" w:cs="Arial" w:eastAsia="Arial" w:hAnsi="Arial"/>
          <w:sz w:val="17"/>
          <w:szCs w:val="17"/>
          <w:color w:val="auto"/>
        </w:rPr>
      </w:pPr>
    </w:p>
    <w:p>
      <w:pPr>
        <w:ind w:right="60" w:firstLine="921"/>
        <w:spacing w:after="0" w:line="297" w:lineRule="auto"/>
        <w:tabs>
          <w:tab w:leader="none" w:pos="116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50" w:lineRule="exact"/>
        <w:rPr>
          <w:rFonts w:ascii="Arial" w:cs="Arial" w:eastAsia="Arial" w:hAnsi="Arial"/>
          <w:sz w:val="16"/>
          <w:szCs w:val="16"/>
          <w:color w:val="auto"/>
        </w:rPr>
      </w:pPr>
    </w:p>
    <w:p>
      <w:pPr>
        <w:ind w:left="1160" w:hanging="239"/>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w:t>
      </w:r>
    </w:p>
    <w:p>
      <w:pPr>
        <w:spacing w:after="0" w:line="117" w:lineRule="exact"/>
        <w:rPr>
          <w:rFonts w:ascii="Arial" w:cs="Arial" w:eastAsia="Arial" w:hAnsi="Arial"/>
          <w:sz w:val="18"/>
          <w:szCs w:val="18"/>
          <w:color w:val="auto"/>
        </w:rPr>
      </w:pPr>
    </w:p>
    <w:p>
      <w:pPr>
        <w:ind w:right="180" w:firstLine="921"/>
        <w:spacing w:after="0" w:line="259" w:lineRule="auto"/>
        <w:tabs>
          <w:tab w:leader="none" w:pos="11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the Collateral Agent or the Issuer in reliance thereon, whether or not notation of such action is made upon such Note.</w:t>
      </w:r>
    </w:p>
    <w:p>
      <w:pPr>
        <w:spacing w:after="0" w:line="78" w:lineRule="exact"/>
        <w:rPr>
          <w:rFonts w:ascii="Arial" w:cs="Arial" w:eastAsia="Arial" w:hAnsi="Arial"/>
          <w:sz w:val="18"/>
          <w:szCs w:val="18"/>
          <w:color w:val="auto"/>
        </w:rPr>
      </w:pPr>
    </w:p>
    <w:p>
      <w:pPr>
        <w:ind w:right="160" w:firstLine="921"/>
        <w:spacing w:after="0" w:line="264" w:lineRule="auto"/>
        <w:tabs>
          <w:tab w:leader="none" w:pos="11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w:t>
      </w:r>
    </w:p>
    <w:p>
      <w:pPr>
        <w:spacing w:after="0" w:line="73" w:lineRule="exact"/>
        <w:rPr>
          <w:rFonts w:ascii="Arial" w:cs="Arial" w:eastAsia="Arial" w:hAnsi="Arial"/>
          <w:sz w:val="18"/>
          <w:szCs w:val="18"/>
          <w:color w:val="auto"/>
        </w:rPr>
      </w:pPr>
    </w:p>
    <w:p>
      <w:pPr>
        <w:ind w:right="60" w:firstLine="921"/>
        <w:spacing w:after="0" w:line="279" w:lineRule="auto"/>
        <w:tabs>
          <w:tab w:leader="none" w:pos="1138" w:val="left"/>
        </w:tabs>
        <w:numPr>
          <w:ilvl w:val="0"/>
          <w:numId w:val="99"/>
        </w:numPr>
        <w:rPr>
          <w:rFonts w:ascii="Arial" w:cs="Arial" w:eastAsia="Arial" w:hAnsi="Arial"/>
          <w:sz w:val="17"/>
          <w:szCs w:val="17"/>
          <w:color w:val="auto"/>
        </w:rPr>
      </w:pPr>
      <w:r>
        <w:rPr>
          <w:rFonts w:ascii="Arial" w:cs="Arial" w:eastAsia="Arial" w:hAnsi="Arial"/>
          <w:sz w:val="17"/>
          <w:szCs w:val="17"/>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spacing w:after="0" w:line="63" w:lineRule="exact"/>
        <w:rPr>
          <w:rFonts w:ascii="Arial" w:cs="Arial" w:eastAsia="Arial" w:hAnsi="Arial"/>
          <w:sz w:val="17"/>
          <w:szCs w:val="17"/>
          <w:color w:val="auto"/>
        </w:rPr>
      </w:pPr>
    </w:p>
    <w:p>
      <w:pPr>
        <w:ind w:right="220" w:firstLine="921"/>
        <w:spacing w:after="0" w:line="259" w:lineRule="auto"/>
        <w:tabs>
          <w:tab w:leader="none" w:pos="11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a Holder, including DTC, may make, give or take, by a proxy or proxies duly appointed in writing, any request, demand, authorization, direction, notice, consent, waiver or other action provided in this Indenture to be made, given or taken by Holders, and DTC may provide its proxy to the beneficial owners of interests in any such Global Note through such depositary’s standing instructions and customary practices.</w:t>
      </w:r>
    </w:p>
    <w:p>
      <w:pPr>
        <w:spacing w:after="0" w:line="78" w:lineRule="exact"/>
        <w:rPr>
          <w:rFonts w:ascii="Arial" w:cs="Arial" w:eastAsia="Arial" w:hAnsi="Arial"/>
          <w:sz w:val="18"/>
          <w:szCs w:val="18"/>
          <w:color w:val="auto"/>
        </w:rPr>
      </w:pPr>
    </w:p>
    <w:p>
      <w:pPr>
        <w:ind w:firstLine="921"/>
        <w:spacing w:after="0" w:line="293" w:lineRule="auto"/>
        <w:tabs>
          <w:tab w:leader="none" w:pos="116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Issuer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NOTES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 and Dating; Terms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64" w:lineRule="auto"/>
        <w:tabs>
          <w:tab w:leader="none" w:pos="1157"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Notes and the Trustee’s certificate of authentication shall be substantially in the form of Exhibit A hereto. The Notes may have notations, legends or endorsements required by law, stock exchange rules or usage. Each Note shall be dated the date of its authentication. The Notes shall be in minimum denominations of $2,000 and integral multiples of $1,000 in excess thereof.</w:t>
      </w:r>
    </w:p>
    <w:p>
      <w:pPr>
        <w:spacing w:after="0" w:line="73" w:lineRule="exact"/>
        <w:rPr>
          <w:rFonts w:ascii="Arial" w:cs="Arial" w:eastAsia="Arial" w:hAnsi="Arial"/>
          <w:sz w:val="18"/>
          <w:szCs w:val="18"/>
          <w:color w:val="auto"/>
        </w:rPr>
      </w:pPr>
    </w:p>
    <w:p>
      <w:pPr>
        <w:ind w:firstLine="921"/>
        <w:spacing w:after="0" w:line="253" w:lineRule="auto"/>
        <w:tabs>
          <w:tab w:leader="none" w:pos="1168"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Global Notes</w:t>
      </w:r>
      <w:r>
        <w:rPr>
          <w:rFonts w:ascii="Arial" w:cs="Arial" w:eastAsia="Arial" w:hAnsi="Arial"/>
          <w:sz w:val="18"/>
          <w:szCs w:val="18"/>
          <w:color w:val="auto"/>
        </w:rPr>
        <w:t xml:space="preserve">. Notes issued in global form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(including the Global Note Legend thereon and the “Schedule of Exchanges of Interests in the Global Note” attached thereto). Notes issued in definitive form shall be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hereto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89" w:lineRule="exact"/>
        <w:rPr>
          <w:rFonts w:ascii="Arial" w:cs="Arial" w:eastAsia="Arial" w:hAnsi="Arial"/>
          <w:sz w:val="18"/>
          <w:szCs w:val="18"/>
          <w:color w:val="auto"/>
        </w:rPr>
      </w:pPr>
    </w:p>
    <w:p>
      <w:pPr>
        <w:ind w:right="60" w:firstLine="921"/>
        <w:spacing w:after="0" w:line="302" w:lineRule="auto"/>
        <w:tabs>
          <w:tab w:leader="none" w:pos="1157"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Temporary Global Notes</w:t>
      </w:r>
      <w:r>
        <w:rPr>
          <w:rFonts w:ascii="Arial" w:cs="Arial" w:eastAsia="Arial" w:hAnsi="Arial"/>
          <w:sz w:val="16"/>
          <w:szCs w:val="16"/>
          <w:color w:val="auto"/>
        </w:rPr>
        <w:t>. Notes offered and sold in reliance on Regulation S shall be issued initially in the form of the Regulation S Temporary Global Note, which shall be deposited on behalf of the purchasers of the Notes represented thereby with the Custodian and registered in the name of the Depositary or the nominee of the Depositary for the accounts of designated agents holding on behalf of Euroclear or Clearstream, duly executed by the Issuer and authenticated by the Trustee as hereinafter provided. The Restricted Period shall be terminated upon the receipt by the Trustee of:</w:t>
      </w:r>
    </w:p>
    <w:p>
      <w:pPr>
        <w:spacing w:after="0" w:line="46" w:lineRule="exact"/>
        <w:rPr>
          <w:rFonts w:ascii="Arial" w:cs="Arial" w:eastAsia="Arial" w:hAnsi="Arial"/>
          <w:sz w:val="16"/>
          <w:szCs w:val="16"/>
          <w:color w:val="auto"/>
        </w:rPr>
      </w:pPr>
    </w:p>
    <w:p>
      <w:pPr>
        <w:ind w:left="460" w:firstLine="443"/>
        <w:spacing w:after="0" w:line="257" w:lineRule="auto"/>
        <w:tabs>
          <w:tab w:leader="none" w:pos="11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written certificate from the Depositary, together with copies of certificates from Euroclear and Clearstream certifying that they have received certification of non-United States beneficial ownership of 100% of the aggregate principal amount of each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bearing a Private Placement Legend, all as contemplated by Section 2.06(b) hereof); and</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Officer’s Certificate from the Issuer.</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Following the termination of the Restricted Period, beneficial interests in each Regulation S Temporary Global Note shall be exchanged for beneficial interests in a Regulation S Permanent Global Note of the same series pursuant to the Applicable Procedures. Simultaneously with the authentication of the corresponding Regulation S Permanent Global Note, the Trustee shall cancel the corresponding Regulation S Temporary Global Note. The aggregate principal amount of a Regulation S Temporary Global Note and a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80" w:name="page81"/>
    <w:bookmarkEnd w:id="8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 </w:t>
      </w:r>
      <w:r>
        <w:rPr>
          <w:rFonts w:ascii="Arial" w:cs="Arial" w:eastAsia="Arial" w:hAnsi="Arial"/>
          <w:sz w:val="18"/>
          <w:szCs w:val="18"/>
          <w:u w:val="single" w:color="auto"/>
          <w:color w:val="auto"/>
        </w:rPr>
        <w:t>Terms</w:t>
      </w:r>
      <w:r>
        <w:rPr>
          <w:rFonts w:ascii="Arial" w:cs="Arial" w:eastAsia="Arial" w:hAnsi="Arial"/>
          <w:sz w:val="18"/>
          <w:szCs w:val="18"/>
          <w:color w:val="auto"/>
        </w:rPr>
        <w:t>. The aggregate principal amount of Notes that may be authenticated and delivered under this Indenture is unlimited.</w:t>
      </w:r>
    </w:p>
    <w:p>
      <w:pPr>
        <w:spacing w:after="0" w:line="225"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The terms and provisions contained in the Notes shall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Notes shall be subject to repurchase by the Issuer pursuant to an Asset Sale Offer as provided in Section 4.10 hereof or a Change of Control Offer as provided in Section 4.14 hereof. The Notes shall not be redeemable, other than as provided in Article 3 hereof.</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Additional Notes ranking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the Initial Notes may be created and issued from time to time by the Issuer without notice to or consent of the Holders and shall be consolidated with and form a single class with the Initial Notes and shall have the same terms as to status, redemption or otherwise as the Initial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Issuer’s ability to issue Additional Notes shall be subject to the Issuer’s compliance with Section 4.09 hereof. Any Additional Notes shall be issued with the benefit of an indenture supplemental to this Indenture.</w:t>
      </w:r>
    </w:p>
    <w:p>
      <w:pPr>
        <w:spacing w:after="0" w:line="18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 At least one Officer of the Issuer shall execute the Notes on behalf of the Issuer by manual or facsimile signature.</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If an Officer of the Issuer whose signature is on a Note no longer holds that office at the time the Trustee authenticates the Note, the Note shall nevertheless be valid.</w:t>
      </w:r>
    </w:p>
    <w:p>
      <w:pPr>
        <w:spacing w:after="0" w:line="17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A Note shall not be entitled to any benefit under this Indenture or be valid or obligatory for any purpose until authenticated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by the manual signature of the Trustee. The signature shall be conclusive evidence that the Note has been duly authenticated and delivered under this Indenture.</w:t>
      </w:r>
    </w:p>
    <w:p>
      <w:pPr>
        <w:spacing w:after="0" w:line="181" w:lineRule="exact"/>
        <w:rPr>
          <w:sz w:val="20"/>
          <w:szCs w:val="20"/>
          <w:color w:val="auto"/>
        </w:rPr>
      </w:pPr>
    </w:p>
    <w:p>
      <w:pPr>
        <w:ind w:right="280" w:firstLine="913"/>
        <w:spacing w:after="0" w:line="286" w:lineRule="auto"/>
        <w:rPr>
          <w:sz w:val="20"/>
          <w:szCs w:val="20"/>
          <w:color w:val="auto"/>
        </w:rPr>
      </w:pPr>
      <w:r>
        <w:rPr>
          <w:rFonts w:ascii="Arial" w:cs="Arial" w:eastAsia="Arial" w:hAnsi="Arial"/>
          <w:sz w:val="17"/>
          <w:szCs w:val="17"/>
          <w:color w:val="auto"/>
        </w:rPr>
        <w:t>On the Issue Date, the Trustee shall, upon receipt of an Issuer Order (an “</w:t>
      </w:r>
      <w:r>
        <w:rPr>
          <w:rFonts w:ascii="Arial" w:cs="Arial" w:eastAsia="Arial" w:hAnsi="Arial"/>
          <w:sz w:val="17"/>
          <w:szCs w:val="17"/>
          <w:u w:val="single" w:color="auto"/>
          <w:color w:val="auto"/>
        </w:rPr>
        <w:t>Authentication Order</w:t>
      </w:r>
      <w:r>
        <w:rPr>
          <w:rFonts w:ascii="Arial" w:cs="Arial" w:eastAsia="Arial" w:hAnsi="Arial"/>
          <w:sz w:val="17"/>
          <w:szCs w:val="17"/>
          <w:color w:val="auto"/>
        </w:rPr>
        <w:t>”), authenticate and deliver the Initial Notes. In addition, at any time, from time to time, the Trustee shall upon an Authentication Order authenticate and deliver any Additional Notes for an aggregate principal amount specified in such Authentication Order for such Additional Notes issued or increased hereunder.</w:t>
      </w:r>
    </w:p>
    <w:p>
      <w:pPr>
        <w:spacing w:after="0" w:line="166"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 (a) The Issuer shall maintain (i) an office or agency where Notes may be presented for registration of transfer or for exchange (“</w:t>
      </w:r>
      <w:r>
        <w:rPr>
          <w:rFonts w:ascii="Arial" w:cs="Arial" w:eastAsia="Arial" w:hAnsi="Arial"/>
          <w:sz w:val="18"/>
          <w:szCs w:val="18"/>
          <w:u w:val="single" w:color="auto"/>
          <w:color w:val="auto"/>
        </w:rPr>
        <w:t>Registrar</w:t>
      </w:r>
      <w:r>
        <w:rPr>
          <w:rFonts w:ascii="Arial" w:cs="Arial" w:eastAsia="Arial" w:hAnsi="Arial"/>
          <w:sz w:val="18"/>
          <w:szCs w:val="18"/>
          <w:color w:val="auto"/>
        </w:rPr>
        <w:t>”) and (ii) an office or agency where Notes may be presented for payment (“</w:t>
      </w:r>
      <w:r>
        <w:rPr>
          <w:rFonts w:ascii="Arial" w:cs="Arial" w:eastAsia="Arial" w:hAnsi="Arial"/>
          <w:sz w:val="18"/>
          <w:szCs w:val="18"/>
          <w:u w:val="single" w:color="auto"/>
          <w:color w:val="auto"/>
        </w:rPr>
        <w:t>Paying Agent</w:t>
      </w:r>
      <w:r>
        <w:rPr>
          <w:rFonts w:ascii="Arial" w:cs="Arial" w:eastAsia="Arial" w:hAnsi="Arial"/>
          <w:sz w:val="18"/>
          <w:szCs w:val="18"/>
          <w:color w:val="auto"/>
        </w:rPr>
        <w:t>”). The Registrar shall keep a register of the Notes (“</w:t>
      </w:r>
      <w:r>
        <w:rPr>
          <w:rFonts w:ascii="Arial" w:cs="Arial" w:eastAsia="Arial" w:hAnsi="Arial"/>
          <w:sz w:val="18"/>
          <w:szCs w:val="18"/>
          <w:u w:val="single" w:color="auto"/>
          <w:color w:val="auto"/>
        </w:rPr>
        <w:t>Note Register</w:t>
      </w:r>
      <w:r>
        <w:rPr>
          <w:rFonts w:ascii="Arial" w:cs="Arial" w:eastAsia="Arial" w:hAnsi="Arial"/>
          <w:sz w:val="18"/>
          <w:szCs w:val="18"/>
          <w:color w:val="auto"/>
        </w:rPr>
        <w:t>”) and of their transfer and exchange. The Issuer may appoint one or more co-registrars and one or more additional paying agents. The term “</w:t>
      </w:r>
      <w:r>
        <w:rPr>
          <w:rFonts w:ascii="Arial" w:cs="Arial" w:eastAsia="Arial" w:hAnsi="Arial"/>
          <w:sz w:val="18"/>
          <w:szCs w:val="18"/>
          <w:u w:val="single" w:color="auto"/>
          <w:color w:val="auto"/>
        </w:rPr>
        <w:t>Registrar</w:t>
      </w:r>
      <w:r>
        <w:rPr>
          <w:rFonts w:ascii="Arial" w:cs="Arial" w:eastAsia="Arial" w:hAnsi="Arial"/>
          <w:sz w:val="18"/>
          <w:szCs w:val="18"/>
          <w:color w:val="auto"/>
        </w:rPr>
        <w:t>” includes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81" w:name="page82"/>
    <w:bookmarkEnd w:id="81"/>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co-registrar, and the term “</w:t>
      </w:r>
      <w:r>
        <w:rPr>
          <w:rFonts w:ascii="Arial" w:cs="Arial" w:eastAsia="Arial" w:hAnsi="Arial"/>
          <w:sz w:val="17"/>
          <w:szCs w:val="17"/>
          <w:u w:val="single" w:color="auto"/>
          <w:color w:val="auto"/>
        </w:rPr>
        <w:t>Paying Agent</w:t>
      </w:r>
      <w:r>
        <w:rPr>
          <w:rFonts w:ascii="Arial" w:cs="Arial" w:eastAsia="Arial" w:hAnsi="Arial"/>
          <w:sz w:val="17"/>
          <w:szCs w:val="17"/>
          <w:color w:val="auto"/>
        </w:rPr>
        <w:t>” includes any additional paying agents. The Issuer initially appoints the Trustee as Paying Agent. The Issuer may change any Paying Agent or Registrar without prior notice to any Holder. The Issuer shall notify the Trustee in writing of the name and address of any Agent not a party to this Indenture. If the Issuer fails to appoint or maintain another entity as Registrar or Paying Agent, the Trustee shall, to the extent that it is capable, act as such. The Issuer or any of its domestic Subsidiaries may act as Paying Agent or Registrar.</w:t>
      </w:r>
    </w:p>
    <w:p>
      <w:pPr>
        <w:spacing w:after="0" w:line="63" w:lineRule="exact"/>
        <w:rPr>
          <w:sz w:val="20"/>
          <w:szCs w:val="20"/>
          <w:color w:val="auto"/>
        </w:rPr>
      </w:pPr>
    </w:p>
    <w:p>
      <w:pPr>
        <w:ind w:left="920" w:right="180" w:firstLine="1"/>
        <w:spacing w:after="0" w:line="277" w:lineRule="auto"/>
        <w:tabs>
          <w:tab w:leader="none" w:pos="117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Issuer initially appoints The Depository Trust Company (“DTC”) to act as Depositary with respect to the Global Notes representing the Notes.</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Issuer initially appoints the Trustee to act as the Registrar for the Notes.</w:t>
      </w:r>
    </w:p>
    <w:p>
      <w:pPr>
        <w:spacing w:after="0" w:line="22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 The Issuer shall require each Paying Agent other than the Trustee to agree in writing that the Paying Agent shall hold in trust for the benefit of Holders or the Trustee all money held by the Paying Agent for the payment of principal and premium, if any, or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6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Holder Lists</w:t>
      </w:r>
      <w:r>
        <w:rPr>
          <w:rFonts w:ascii="Arial" w:cs="Arial" w:eastAsia="Arial" w:hAnsi="Arial"/>
          <w:sz w:val="18"/>
          <w:szCs w:val="18"/>
          <w:color w:val="auto"/>
        </w:rPr>
        <w:t>. The Trustee shall preserve in as current a form as is reasonably practicable the most recent list available to it of the names and addresses of all Holders.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Holders of Notes.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3" w:lineRule="auto"/>
        <w:tabs>
          <w:tab w:leader="none" w:pos="115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Global Notes</w:t>
      </w:r>
      <w:r>
        <w:rPr>
          <w:rFonts w:ascii="Arial" w:cs="Arial" w:eastAsia="Arial" w:hAnsi="Arial"/>
          <w:sz w:val="16"/>
          <w:szCs w:val="16"/>
          <w:color w:val="auto"/>
        </w:rPr>
        <w:t>. Except as otherwise set forth in this Section 2.06, a Global Note may be transferred, in whole and not in part, only to another nominee of the Depositary or to a successor thereto or a nominee of such successor thereto. A beneficial interest in a Global Note may not be exchanged for a Definitive Note of the same series unless (A) the Depositary (x) notifies the Issuer that it is unwilling or unable to continue as Depositary for such Global Note or (y) has ceased to be a clearing agency registered under the Exchange Act, and, in either case, a successor Depositary is not appointed by the Issuer within 120 days or (B) there shall have occurred and be continuing a Default with respect to the Notes. Upon the occurrence of any of the preceding events in (A) above, Definitive Notes delivered in exchange for any Global Note of the same series or beneficial interests therein will be registered in the names, and issued in any approved denominations, requested by or on behalf of the Depositary (in accordance with its customary procedures). Global Notes also may be exchanged or replaced, in whole or in part, as provided in Sections 2.07 and 2.10 hereof. Every Note authenticated and delivered in exchange for, or in lieu of, a Global Note of the same series or any portion thereof, pursuant to this Section 2.06 or Section 2.07 or 2.10 hereof, shall be authenticated and delivered in the form of, and shall be, a Global Note, except for Definitive Notes issued subsequent to any of the preceding events in (A) or (B) above and pursuant to Section 2.06(c) hereof. A Global Note may not be exchanged for another Note other than as provided in this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 xml:space="preserve">Section 2.06(a);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beneficial interests in a Global Note may be transferred and exchanged as provided in Section 2.06(b) or (c) hereof.</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82" w:name="page83"/>
    <w:bookmarkEnd w:id="82"/>
    <w:p>
      <w:pPr>
        <w:ind w:left="-20" w:right="80" w:firstLine="921"/>
        <w:spacing w:after="0" w:line="257" w:lineRule="auto"/>
        <w:tabs>
          <w:tab w:leader="none" w:pos="1148" w:val="left"/>
        </w:tabs>
        <w:numPr>
          <w:ilvl w:val="2"/>
          <w:numId w:val="1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and Exchange of Beneficial Interests in the Global Notes</w:t>
      </w:r>
      <w:r>
        <w:rPr>
          <w:rFonts w:ascii="Arial" w:cs="Arial" w:eastAsia="Arial" w:hAnsi="Arial"/>
          <w:sz w:val="18"/>
          <w:szCs w:val="18"/>
          <w:color w:val="auto"/>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80" w:lineRule="exact"/>
        <w:rPr>
          <w:rFonts w:ascii="Arial" w:cs="Arial" w:eastAsia="Arial" w:hAnsi="Arial"/>
          <w:sz w:val="18"/>
          <w:szCs w:val="18"/>
          <w:color w:val="auto"/>
        </w:rPr>
      </w:pPr>
    </w:p>
    <w:p>
      <w:pPr>
        <w:ind w:left="440" w:right="40" w:firstLine="443"/>
        <w:spacing w:after="0" w:line="293" w:lineRule="auto"/>
        <w:tabs>
          <w:tab w:leader="none" w:pos="1093"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Transfer of Beneficial Interests in the Same Global Note</w:t>
      </w:r>
      <w:r>
        <w:rPr>
          <w:rFonts w:ascii="Arial" w:cs="Arial" w:eastAsia="Arial" w:hAnsi="Arial"/>
          <w:sz w:val="16"/>
          <w:szCs w:val="16"/>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6"/>
          <w:szCs w:val="16"/>
          <w:u w:val="single" w:color="auto"/>
          <w:color w:val="auto"/>
        </w:rPr>
        <w:t>provided</w:t>
      </w:r>
      <w:r>
        <w:rPr>
          <w:rFonts w:ascii="Arial" w:cs="Arial" w:eastAsia="Arial" w:hAnsi="Arial"/>
          <w:sz w:val="16"/>
          <w:szCs w:val="16"/>
          <w:color w:val="auto"/>
        </w:rPr>
        <w:t>, that prior to the expiration of the Restricted Period, transfers of beneficial interests in the Regulation S Temporary Global Note may not be made to a U.S. Person or for the account or benefit of a U.S. Person other than pursuant to Rule 144A.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56" w:lineRule="exact"/>
        <w:rPr>
          <w:rFonts w:ascii="Arial" w:cs="Arial" w:eastAsia="Arial" w:hAnsi="Arial"/>
          <w:sz w:val="16"/>
          <w:szCs w:val="16"/>
          <w:color w:val="auto"/>
        </w:rPr>
      </w:pPr>
    </w:p>
    <w:p>
      <w:pPr>
        <w:ind w:left="440" w:right="60" w:firstLine="443"/>
        <w:spacing w:after="0" w:line="283" w:lineRule="auto"/>
        <w:tabs>
          <w:tab w:leader="none" w:pos="1143"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All Other Transfers and Exchanges of Beneficial Interests in Global Notes</w:t>
      </w:r>
      <w:r>
        <w:rPr>
          <w:rFonts w:ascii="Arial" w:cs="Arial" w:eastAsia="Arial" w:hAnsi="Arial"/>
          <w:sz w:val="16"/>
          <w:szCs w:val="16"/>
          <w:color w:val="auto"/>
        </w:rPr>
        <w:t xml:space="preserve">. In connection with all transfers and exchanges of beneficial interests that are not subject to Section 2.06(b)(i) hereof,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of the same series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Definitive Notes be issued upon the transfer or exchange of beneficial interests in a Regulation S Temporary Global Note prior to (A) the expiration of the Restricted Period and</w:t>
      </w:r>
    </w:p>
    <w:p>
      <w:pPr>
        <w:spacing w:after="0" w:line="5" w:lineRule="exact"/>
        <w:rPr>
          <w:rFonts w:ascii="Arial" w:cs="Arial" w:eastAsia="Arial" w:hAnsi="Arial"/>
          <w:sz w:val="16"/>
          <w:szCs w:val="16"/>
          <w:color w:val="auto"/>
        </w:rPr>
      </w:pPr>
    </w:p>
    <w:p>
      <w:pPr>
        <w:ind w:left="440" w:firstLine="4"/>
        <w:spacing w:after="0" w:line="255" w:lineRule="auto"/>
        <w:tabs>
          <w:tab w:leader="none" w:pos="72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receipt by the Registrar of any certificates required pursuant to Rule 903.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82" w:lineRule="exact"/>
        <w:rPr>
          <w:rFonts w:ascii="Arial" w:cs="Arial" w:eastAsia="Arial" w:hAnsi="Arial"/>
          <w:sz w:val="18"/>
          <w:szCs w:val="18"/>
          <w:color w:val="auto"/>
        </w:rPr>
      </w:pPr>
    </w:p>
    <w:p>
      <w:pPr>
        <w:jc w:val="both"/>
        <w:ind w:left="440" w:right="80" w:firstLine="443"/>
        <w:spacing w:after="0" w:line="264" w:lineRule="auto"/>
        <w:tabs>
          <w:tab w:leader="none" w:pos="1193"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Transfer of Beneficial Interests to Another Restricted Global Note</w:t>
      </w:r>
      <w:r>
        <w:rPr>
          <w:rFonts w:ascii="Arial" w:cs="Arial" w:eastAsia="Arial" w:hAnsi="Arial"/>
          <w:sz w:val="18"/>
          <w:szCs w:val="18"/>
          <w:color w:val="auto"/>
        </w:rPr>
        <w:t>. A beneficial interest in any Restricted Global Note may be transferred to a Person who takes delivery thereof in the form of a beneficial interest in another Restricted Global Note if the transfer complies with the requirements of Section 2.06(b)(ii) hereof and the Registrar receives the following:</w:t>
      </w:r>
    </w:p>
    <w:p>
      <w:pPr>
        <w:spacing w:after="0" w:line="73" w:lineRule="exact"/>
        <w:rPr>
          <w:rFonts w:ascii="Arial" w:cs="Arial" w:eastAsia="Arial" w:hAnsi="Arial"/>
          <w:sz w:val="18"/>
          <w:szCs w:val="18"/>
          <w:color w:val="auto"/>
        </w:rPr>
      </w:pPr>
    </w:p>
    <w:p>
      <w:pPr>
        <w:ind w:left="900" w:right="700" w:firstLine="421"/>
        <w:spacing w:after="0" w:line="277" w:lineRule="auto"/>
        <w:tabs>
          <w:tab w:leader="none" w:pos="1615" w:val="left"/>
        </w:tabs>
        <w:numPr>
          <w:ilvl w:val="3"/>
          <w:numId w:val="106"/>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a 144A Global Note,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60" w:top="274" w:right="239" w:bottom="1440" w:gutter="0" w:footer="0" w:header="0"/>
        </w:sectPr>
      </w:pPr>
    </w:p>
    <w:bookmarkStart w:id="83" w:name="page84"/>
    <w:bookmarkEnd w:id="83"/>
    <w:p>
      <w:pPr>
        <w:ind w:left="920" w:right="140" w:firstLine="421"/>
        <w:spacing w:after="0" w:line="277" w:lineRule="auto"/>
        <w:tabs>
          <w:tab w:leader="none" w:pos="1625" w:val="left"/>
        </w:tabs>
        <w:numPr>
          <w:ilvl w:val="1"/>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transferee will take delivery in the form of a beneficial interest in a Regulation S Global Note,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62" w:lineRule="exact"/>
        <w:rPr>
          <w:rFonts w:ascii="Arial" w:cs="Arial" w:eastAsia="Arial" w:hAnsi="Arial"/>
          <w:sz w:val="18"/>
          <w:szCs w:val="18"/>
          <w:color w:val="auto"/>
        </w:rPr>
      </w:pPr>
    </w:p>
    <w:p>
      <w:pPr>
        <w:ind w:left="460" w:right="300" w:firstLine="443"/>
        <w:spacing w:after="0" w:line="279" w:lineRule="auto"/>
        <w:tabs>
          <w:tab w:leader="none" w:pos="1203"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Beneficial Interests in a Restricted Global Note for Beneficial Interests in an Unrestricted Global Note</w:t>
      </w:r>
      <w:r>
        <w:rPr>
          <w:rFonts w:ascii="Arial" w:cs="Arial" w:eastAsia="Arial" w:hAnsi="Arial"/>
          <w:sz w:val="17"/>
          <w:szCs w:val="17"/>
          <w:color w:val="auto"/>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hereof and the Registrar receives the following:</w:t>
      </w:r>
    </w:p>
    <w:p>
      <w:pPr>
        <w:spacing w:after="0" w:line="63" w:lineRule="exact"/>
        <w:rPr>
          <w:rFonts w:ascii="Arial" w:cs="Arial" w:eastAsia="Arial" w:hAnsi="Arial"/>
          <w:sz w:val="17"/>
          <w:szCs w:val="17"/>
          <w:color w:val="auto"/>
        </w:rPr>
      </w:pPr>
    </w:p>
    <w:p>
      <w:pPr>
        <w:ind w:left="920" w:right="80" w:firstLine="421"/>
        <w:spacing w:after="0" w:line="264" w:lineRule="auto"/>
        <w:tabs>
          <w:tab w:leader="none" w:pos="163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Note of the same series,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(1)(a) thereof; or</w:t>
      </w:r>
    </w:p>
    <w:p>
      <w:pPr>
        <w:spacing w:after="0" w:line="73" w:lineRule="exact"/>
        <w:rPr>
          <w:rFonts w:ascii="Arial" w:cs="Arial" w:eastAsia="Arial" w:hAnsi="Arial"/>
          <w:sz w:val="18"/>
          <w:szCs w:val="18"/>
          <w:color w:val="auto"/>
        </w:rPr>
      </w:pPr>
    </w:p>
    <w:p>
      <w:pPr>
        <w:ind w:left="920" w:right="160" w:firstLine="421"/>
        <w:spacing w:after="0" w:line="273" w:lineRule="auto"/>
        <w:tabs>
          <w:tab w:leader="none" w:pos="1625"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if the holder of such beneficial interest in a Restricted Global Note proposes to transfer such beneficial interest to a Person who shall take delivery thereof in the form of a beneficial interest in an Unrestricted Global Note of the same series, a certificate from such holder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(4) thereof; and, in each such case,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8"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If any such transfer is effected pursuant to this paragraph (iv)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paragraph (iv).</w:t>
      </w:r>
    </w:p>
    <w:p>
      <w:pPr>
        <w:spacing w:after="0" w:line="14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62" w:lineRule="exact"/>
        <w:rPr>
          <w:sz w:val="20"/>
          <w:szCs w:val="20"/>
          <w:color w:val="auto"/>
        </w:rPr>
      </w:pPr>
    </w:p>
    <w:p>
      <w:pPr>
        <w:ind w:left="1140" w:hanging="237"/>
        <w:spacing w:after="0"/>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Transfer or Exchange of Beneficial Interests for Definitive Notes</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59" w:lineRule="auto"/>
        <w:tabs>
          <w:tab w:leader="none" w:pos="111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Beneficial Interests in Restricted Global Notes to Restricted Definitive Notes.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subsection (A) of Section 2.06(a) hereof and receipt by the Registrar of the following documentation:</w:t>
      </w:r>
    </w:p>
    <w:p>
      <w:pPr>
        <w:spacing w:after="0" w:line="78" w:lineRule="exact"/>
        <w:rPr>
          <w:rFonts w:ascii="Arial" w:cs="Arial" w:eastAsia="Arial" w:hAnsi="Arial"/>
          <w:sz w:val="18"/>
          <w:szCs w:val="18"/>
          <w:color w:val="auto"/>
        </w:rPr>
      </w:pPr>
    </w:p>
    <w:p>
      <w:pPr>
        <w:ind w:left="920" w:right="260" w:firstLine="421"/>
        <w:spacing w:after="0" w:line="342" w:lineRule="auto"/>
        <w:tabs>
          <w:tab w:leader="none" w:pos="1635"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Note proposes to exchange such beneficial interest for a Restricted Definitive Note, a certificate from such holder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(2)(a) thereof;</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84" w:name="page85"/>
    <w:bookmarkEnd w:id="84"/>
    <w:p>
      <w:pPr>
        <w:ind w:left="920" w:right="140" w:firstLine="421"/>
        <w:spacing w:after="0" w:line="277" w:lineRule="auto"/>
        <w:tabs>
          <w:tab w:leader="none" w:pos="1625"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such beneficial interest is being transferred to a QIB in accordance with Rule 144A, a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hereto, including the certifications in item (1) thereof;</w:t>
      </w:r>
    </w:p>
    <w:p>
      <w:pPr>
        <w:spacing w:after="0" w:line="62" w:lineRule="exact"/>
        <w:rPr>
          <w:rFonts w:ascii="Arial" w:cs="Arial" w:eastAsia="Arial" w:hAnsi="Arial"/>
          <w:sz w:val="18"/>
          <w:szCs w:val="18"/>
          <w:color w:val="auto"/>
        </w:rPr>
      </w:pPr>
    </w:p>
    <w:p>
      <w:pPr>
        <w:ind w:left="920" w:right="40" w:firstLine="421"/>
        <w:spacing w:after="0" w:line="277" w:lineRule="auto"/>
        <w:tabs>
          <w:tab w:leader="none" w:pos="162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Non-U.S. Person in an offshore transaction in accordance with Rule 903 or Rule 904,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62" w:lineRule="exact"/>
        <w:rPr>
          <w:rFonts w:ascii="Arial" w:cs="Arial" w:eastAsia="Arial" w:hAnsi="Arial"/>
          <w:sz w:val="18"/>
          <w:szCs w:val="18"/>
          <w:color w:val="auto"/>
        </w:rPr>
      </w:pPr>
    </w:p>
    <w:p>
      <w:pPr>
        <w:ind w:left="920" w:right="460" w:firstLine="421"/>
        <w:spacing w:after="0" w:line="342" w:lineRule="auto"/>
        <w:tabs>
          <w:tab w:leader="none" w:pos="163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(3)(a) thereof;</w:t>
      </w:r>
    </w:p>
    <w:p>
      <w:pPr>
        <w:spacing w:after="0" w:line="15" w:lineRule="exact"/>
        <w:rPr>
          <w:rFonts w:ascii="Arial" w:cs="Arial" w:eastAsia="Arial" w:hAnsi="Arial"/>
          <w:sz w:val="16"/>
          <w:szCs w:val="16"/>
          <w:color w:val="auto"/>
        </w:rPr>
      </w:pPr>
    </w:p>
    <w:p>
      <w:pPr>
        <w:ind w:left="920" w:right="100" w:firstLine="421"/>
        <w:spacing w:after="0" w:line="277" w:lineRule="auto"/>
        <w:tabs>
          <w:tab w:leader="none" w:pos="16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Issuer or any of its Restricted Subsidiaries,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62" w:lineRule="exact"/>
        <w:rPr>
          <w:rFonts w:ascii="Arial" w:cs="Arial" w:eastAsia="Arial" w:hAnsi="Arial"/>
          <w:sz w:val="18"/>
          <w:szCs w:val="18"/>
          <w:color w:val="auto"/>
        </w:rPr>
      </w:pPr>
    </w:p>
    <w:p>
      <w:pPr>
        <w:ind w:left="920" w:right="520" w:firstLine="421"/>
        <w:spacing w:after="0" w:line="277" w:lineRule="auto"/>
        <w:tabs>
          <w:tab w:leader="none" w:pos="16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Trustee shall cause the aggregate principal amount of the applicable Global Note to be reduced accordingly pursuant to Section 2.06(g) hereof, and the Issuer shall execute and the Trustee shall authenticate and mail to the Person designated in the instructions a Definitive Note in the applicable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spacing w:after="0" w:line="70" w:lineRule="exact"/>
        <w:rPr>
          <w:sz w:val="20"/>
          <w:szCs w:val="20"/>
          <w:color w:val="auto"/>
        </w:rPr>
      </w:pPr>
    </w:p>
    <w:p>
      <w:pPr>
        <w:ind w:left="460" w:firstLine="443"/>
        <w:spacing w:after="0" w:line="257" w:lineRule="auto"/>
        <w:tabs>
          <w:tab w:leader="none" w:pos="116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Beneficial Interests in Regulation S Temporary Global Note to Definitive Notes</w:t>
      </w:r>
      <w:r>
        <w:rPr>
          <w:rFonts w:ascii="Arial" w:cs="Arial" w:eastAsia="Arial" w:hAnsi="Arial"/>
          <w:sz w:val="18"/>
          <w:szCs w:val="18"/>
          <w:color w:val="auto"/>
        </w:rPr>
        <w:t>. Notwithstanding Sections 2.06(c)(i)(A)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of the Securities Act, except in the case of a transfer pursuant to an exemption from the registration requirements of the Securities Act other than Rule 903 or Rule 904.</w:t>
      </w:r>
    </w:p>
    <w:p>
      <w:pPr>
        <w:spacing w:after="0" w:line="80" w:lineRule="exact"/>
        <w:rPr>
          <w:rFonts w:ascii="Arial" w:cs="Arial" w:eastAsia="Arial" w:hAnsi="Arial"/>
          <w:sz w:val="18"/>
          <w:szCs w:val="18"/>
          <w:color w:val="auto"/>
        </w:rPr>
      </w:pPr>
    </w:p>
    <w:p>
      <w:pPr>
        <w:ind w:left="460" w:right="100" w:firstLine="443"/>
        <w:spacing w:after="0" w:line="259" w:lineRule="auto"/>
        <w:tabs>
          <w:tab w:leader="none" w:pos="121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Beneficial Interests in Restricted Global Notes to Unrestricted Definitive Notes</w:t>
      </w:r>
      <w:r>
        <w:rPr>
          <w:rFonts w:ascii="Arial" w:cs="Arial" w:eastAsia="Arial" w:hAnsi="Arial"/>
          <w:sz w:val="18"/>
          <w:szCs w:val="18"/>
          <w:color w:val="auto"/>
        </w:rPr>
        <w:t>.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subsection (A) of Section 2.06(a) hereof and if the Registrar receives the following:</w:t>
      </w:r>
    </w:p>
    <w:p>
      <w:pPr>
        <w:spacing w:after="0" w:line="78" w:lineRule="exact"/>
        <w:rPr>
          <w:rFonts w:ascii="Arial" w:cs="Arial" w:eastAsia="Arial" w:hAnsi="Arial"/>
          <w:sz w:val="18"/>
          <w:szCs w:val="18"/>
          <w:color w:val="auto"/>
        </w:rPr>
      </w:pPr>
    </w:p>
    <w:p>
      <w:pPr>
        <w:ind w:left="920" w:right="100" w:firstLine="421"/>
        <w:spacing w:after="0" w:line="342" w:lineRule="auto"/>
        <w:tabs>
          <w:tab w:leader="none" w:pos="163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an Unrestricted Definitive Note, a certificate from such holder substantially in the form of Exhibit C hereto, including the certifications in item (1)(b) thereof; 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85" w:name="page86"/>
    <w:bookmarkEnd w:id="85"/>
    <w:p>
      <w:pPr>
        <w:ind w:left="460" w:right="140" w:firstLine="421"/>
        <w:spacing w:after="0" w:line="264" w:lineRule="auto"/>
        <w:tabs>
          <w:tab w:leader="none" w:pos="11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73"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and, in each such case,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9" w:lineRule="exact"/>
        <w:rPr>
          <w:sz w:val="20"/>
          <w:szCs w:val="20"/>
          <w:color w:val="auto"/>
        </w:rPr>
      </w:pPr>
    </w:p>
    <w:p>
      <w:pPr>
        <w:ind w:firstLine="443"/>
        <w:spacing w:after="0" w:line="270" w:lineRule="auto"/>
        <w:tabs>
          <w:tab w:leader="none" w:pos="743"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Beneficial Interests in Unrestricted Global Notes to Unrestricted Definitive Notes</w:t>
      </w:r>
      <w:r>
        <w:rPr>
          <w:rFonts w:ascii="Arial" w:cs="Arial" w:eastAsia="Arial" w:hAnsi="Arial"/>
          <w:sz w:val="17"/>
          <w:szCs w:val="17"/>
          <w:color w:val="auto"/>
        </w:rPr>
        <w:t>.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in subsection (A) of Section 2.06(a) hereof and satisfaction of the conditions set forth in Section 2.06(b)(ii) hereof, the Trustee shall cause the aggregate principal amount of the applicable Global Note to be reduced accordingly pursuant to Section 2.06(g) hereof, and the Issuer shall execute and the Trustee shall authenticate and mail to the Person designated in the instructions a Definitive Note in the applicable principal amount. Any Definitive Note issued in exchange for a beneficial interest pursuant to this Section 2.06(c)(iv)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Section 2.06(c)(iv) shall not bear the Private Placement Legend.</w:t>
      </w:r>
    </w:p>
    <w:p>
      <w:pPr>
        <w:spacing w:after="0" w:line="70" w:lineRule="exact"/>
        <w:rPr>
          <w:sz w:val="20"/>
          <w:szCs w:val="20"/>
          <w:color w:val="auto"/>
        </w:rPr>
      </w:pPr>
    </w:p>
    <w:p>
      <w:pPr>
        <w:ind w:left="700" w:hanging="257"/>
        <w:spacing w:after="0"/>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Definitive Notes for Beneficial Interests</w:t>
      </w:r>
      <w:r>
        <w:rPr>
          <w:rFonts w:ascii="Arial" w:cs="Arial" w:eastAsia="Arial" w:hAnsi="Arial"/>
          <w:sz w:val="18"/>
          <w:szCs w:val="18"/>
          <w:color w:val="auto"/>
        </w:rPr>
        <w:t>.</w:t>
      </w:r>
    </w:p>
    <w:p>
      <w:pPr>
        <w:spacing w:after="0" w:line="117" w:lineRule="exact"/>
        <w:rPr>
          <w:sz w:val="20"/>
          <w:szCs w:val="20"/>
          <w:color w:val="auto"/>
        </w:rPr>
      </w:pPr>
    </w:p>
    <w:p>
      <w:pPr>
        <w:ind w:right="220" w:firstLine="443"/>
        <w:spacing w:after="0" w:line="312" w:lineRule="auto"/>
        <w:tabs>
          <w:tab w:leader="none" w:pos="653"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Restricted Definitive Notes to Beneficial Interests in Restricted Global Note</w:t>
      </w:r>
      <w:r>
        <w:rPr>
          <w:rFonts w:ascii="Arial" w:cs="Arial" w:eastAsia="Arial" w:hAnsi="Arial"/>
          <w:sz w:val="16"/>
          <w:szCs w:val="16"/>
          <w:color w:val="auto"/>
        </w:rPr>
        <w:t>s.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38" w:lineRule="exact"/>
        <w:rPr>
          <w:rFonts w:ascii="Arial" w:cs="Arial" w:eastAsia="Arial" w:hAnsi="Arial"/>
          <w:sz w:val="16"/>
          <w:szCs w:val="16"/>
          <w:color w:val="auto"/>
        </w:rPr>
      </w:pPr>
    </w:p>
    <w:p>
      <w:pPr>
        <w:ind w:left="460" w:right="80" w:firstLine="421"/>
        <w:spacing w:after="0" w:line="308" w:lineRule="auto"/>
        <w:tabs>
          <w:tab w:leader="none" w:pos="1175"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Definitive Note proposes to exchange such Note for a beneficial interest in a Restricted Global Note, a certificate from such Holder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(2)(b) thereof;</w:t>
      </w:r>
    </w:p>
    <w:p>
      <w:pPr>
        <w:spacing w:after="0" w:line="38" w:lineRule="exact"/>
        <w:rPr>
          <w:rFonts w:ascii="Arial" w:cs="Arial" w:eastAsia="Arial" w:hAnsi="Arial"/>
          <w:sz w:val="17"/>
          <w:szCs w:val="17"/>
          <w:color w:val="auto"/>
        </w:rPr>
      </w:pPr>
    </w:p>
    <w:p>
      <w:pPr>
        <w:ind w:left="460" w:right="80" w:firstLine="421"/>
        <w:spacing w:after="0" w:line="277" w:lineRule="auto"/>
        <w:tabs>
          <w:tab w:leader="none" w:pos="116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QIB in accordance with Rule 144A, a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B hereto, including the certifications in item (1) thereof;</w:t>
      </w:r>
    </w:p>
    <w:p>
      <w:pPr>
        <w:spacing w:after="0" w:line="62" w:lineRule="exact"/>
        <w:rPr>
          <w:rFonts w:ascii="Arial" w:cs="Arial" w:eastAsia="Arial" w:hAnsi="Arial"/>
          <w:sz w:val="18"/>
          <w:szCs w:val="18"/>
          <w:color w:val="auto"/>
        </w:rPr>
      </w:pPr>
    </w:p>
    <w:p>
      <w:pPr>
        <w:ind w:left="460" w:right="160" w:firstLine="421"/>
        <w:spacing w:after="0" w:line="277" w:lineRule="auto"/>
        <w:tabs>
          <w:tab w:leader="none" w:pos="116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Non-U.S. Person in an offshore transaction in accordance with Rule 903 or Rule 904,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700" w:top="274" w:right="259" w:bottom="1440" w:gutter="0" w:footer="0" w:header="0"/>
        </w:sectPr>
      </w:pPr>
    </w:p>
    <w:bookmarkStart w:id="86" w:name="page87"/>
    <w:bookmarkEnd w:id="86"/>
    <w:p>
      <w:pPr>
        <w:ind w:left="920" w:firstLine="421"/>
        <w:spacing w:after="0" w:line="342" w:lineRule="auto"/>
        <w:tabs>
          <w:tab w:leader="none" w:pos="1635" w:val="left"/>
        </w:tabs>
        <w:numPr>
          <w:ilvl w:val="0"/>
          <w:numId w:val="1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such Restricted Definitive Note is being transferred pursuant to an exemption from the registration requirements of the Securities Act in accordance with Rule 144,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(3)(a) thereof;</w:t>
      </w:r>
    </w:p>
    <w:p>
      <w:pPr>
        <w:spacing w:after="0" w:line="15" w:lineRule="exact"/>
        <w:rPr>
          <w:rFonts w:ascii="Arial" w:cs="Arial" w:eastAsia="Arial" w:hAnsi="Arial"/>
          <w:sz w:val="16"/>
          <w:szCs w:val="16"/>
          <w:color w:val="auto"/>
        </w:rPr>
      </w:pPr>
    </w:p>
    <w:p>
      <w:pPr>
        <w:ind w:left="920" w:right="40" w:firstLine="421"/>
        <w:spacing w:after="0" w:line="277" w:lineRule="auto"/>
        <w:tabs>
          <w:tab w:leader="none" w:pos="16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the Issuer or any of its Restricted Subsidiaries,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62" w:lineRule="exact"/>
        <w:rPr>
          <w:rFonts w:ascii="Arial" w:cs="Arial" w:eastAsia="Arial" w:hAnsi="Arial"/>
          <w:sz w:val="18"/>
          <w:szCs w:val="18"/>
          <w:color w:val="auto"/>
        </w:rPr>
      </w:pPr>
    </w:p>
    <w:p>
      <w:pPr>
        <w:ind w:left="920" w:right="640" w:firstLine="421"/>
        <w:spacing w:after="0" w:line="277" w:lineRule="auto"/>
        <w:tabs>
          <w:tab w:leader="none" w:pos="16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pursuant to an effective registration statement under the Securities Act,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Trustee shall cancel the Restricted Definitive Note,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spacing w:after="0" w:line="73" w:lineRule="exact"/>
        <w:rPr>
          <w:sz w:val="20"/>
          <w:szCs w:val="20"/>
          <w:color w:val="auto"/>
        </w:rPr>
      </w:pPr>
    </w:p>
    <w:p>
      <w:pPr>
        <w:ind w:left="460" w:right="40" w:firstLine="443"/>
        <w:spacing w:after="0" w:line="264" w:lineRule="auto"/>
        <w:tabs>
          <w:tab w:leader="none" w:pos="1163"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Restricted Definitive Notes to Beneficial Interests in Unrestricted Global Notes</w:t>
      </w:r>
      <w:r>
        <w:rPr>
          <w:rFonts w:ascii="Arial" w:cs="Arial" w:eastAsia="Arial" w:hAnsi="Arial"/>
          <w:sz w:val="18"/>
          <w:szCs w:val="18"/>
          <w:color w:val="auto"/>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73" w:lineRule="exact"/>
        <w:rPr>
          <w:rFonts w:ascii="Arial" w:cs="Arial" w:eastAsia="Arial" w:hAnsi="Arial"/>
          <w:sz w:val="18"/>
          <w:szCs w:val="18"/>
          <w:color w:val="auto"/>
        </w:rPr>
      </w:pPr>
    </w:p>
    <w:p>
      <w:pPr>
        <w:ind w:left="920" w:right="400" w:firstLine="421"/>
        <w:spacing w:after="0" w:line="308" w:lineRule="auto"/>
        <w:tabs>
          <w:tab w:leader="none" w:pos="1635"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if the Holder of such Definitive Notes proposes to exchange such Notes for a beneficial interest in the Unrestricted Global Note, a certificate from such Holder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(1)(c) thereof; or</w:t>
      </w:r>
    </w:p>
    <w:p>
      <w:pPr>
        <w:spacing w:after="0" w:line="38" w:lineRule="exact"/>
        <w:rPr>
          <w:rFonts w:ascii="Arial" w:cs="Arial" w:eastAsia="Arial" w:hAnsi="Arial"/>
          <w:sz w:val="17"/>
          <w:szCs w:val="17"/>
          <w:color w:val="auto"/>
        </w:rPr>
      </w:pPr>
    </w:p>
    <w:p>
      <w:pPr>
        <w:ind w:left="920" w:right="360" w:firstLine="421"/>
        <w:spacing w:after="0" w:line="264" w:lineRule="auto"/>
        <w:tabs>
          <w:tab w:leader="none" w:pos="162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if the Holder of such Definitive Notes proposes to transfer such Notes to a Person who shall take delivery thereof in the form of a beneficial interest in the Unrestricted Global Note, a certificate from such 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73"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and, in each such case,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7"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Upon satisfaction of the conditions of any of the subparagraphs in this Section 2.06(d)(ii), the Trustee shall cancel the Definitive Notes and increase or cause to be increased the aggregate principal amount of the Unrestricted Global Note.</w:t>
      </w:r>
    </w:p>
    <w:p>
      <w:pPr>
        <w:spacing w:after="0" w:line="62" w:lineRule="exact"/>
        <w:rPr>
          <w:sz w:val="20"/>
          <w:szCs w:val="20"/>
          <w:color w:val="auto"/>
        </w:rPr>
      </w:pPr>
    </w:p>
    <w:p>
      <w:pPr>
        <w:ind w:left="460" w:right="20" w:firstLine="443"/>
        <w:spacing w:after="0" w:line="257" w:lineRule="auto"/>
        <w:tabs>
          <w:tab w:leader="none" w:pos="121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Unrestricted Definitive Notes to Beneficial Interests in Unrestricted Global Notes</w:t>
      </w:r>
      <w:r>
        <w:rPr>
          <w:rFonts w:ascii="Arial" w:cs="Arial" w:eastAsia="Arial" w:hAnsi="Arial"/>
          <w:sz w:val="18"/>
          <w:szCs w:val="18"/>
          <w:color w:val="auto"/>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87" w:name="page88"/>
    <w:bookmarkEnd w:id="8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such exchange or transfer from a Definitive Note to a beneficial interest is effected pursuant to subparagraph (ii) or (iii)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79" w:lineRule="exact"/>
        <w:rPr>
          <w:sz w:val="20"/>
          <w:szCs w:val="20"/>
          <w:color w:val="auto"/>
        </w:rPr>
      </w:pPr>
    </w:p>
    <w:p>
      <w:pPr>
        <w:ind w:right="40" w:firstLine="921"/>
        <w:spacing w:after="0" w:line="297" w:lineRule="auto"/>
        <w:tabs>
          <w:tab w:leader="none" w:pos="1157"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Definitive Notes for Definitive Notes</w:t>
      </w:r>
      <w:r>
        <w:rPr>
          <w:rFonts w:ascii="Arial" w:cs="Arial" w:eastAsia="Arial" w:hAnsi="Arial"/>
          <w:sz w:val="16"/>
          <w:szCs w:val="16"/>
          <w:color w:val="auto"/>
        </w:rPr>
        <w:t>.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spacing w:after="0" w:line="50" w:lineRule="exact"/>
        <w:rPr>
          <w:rFonts w:ascii="Arial" w:cs="Arial" w:eastAsia="Arial" w:hAnsi="Arial"/>
          <w:sz w:val="16"/>
          <w:szCs w:val="16"/>
          <w:color w:val="auto"/>
        </w:rPr>
      </w:pPr>
    </w:p>
    <w:p>
      <w:pPr>
        <w:ind w:left="460" w:right="60" w:firstLine="443"/>
        <w:spacing w:after="0" w:line="277" w:lineRule="auto"/>
        <w:tabs>
          <w:tab w:leader="none" w:pos="1113"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Restricted Definitive Notes to Restricted Definitive Notes</w:t>
      </w:r>
      <w:r>
        <w:rPr>
          <w:rFonts w:ascii="Arial" w:cs="Arial" w:eastAsia="Arial" w:hAnsi="Arial"/>
          <w:sz w:val="18"/>
          <w:szCs w:val="18"/>
          <w:color w:val="auto"/>
        </w:rPr>
        <w:t>. Any Restricted Definitive Note may be transferred to and registered in the name of Persons who take delivery thereof in the form of a Restricted Definitive Note if the Registrar receives the following:</w:t>
      </w:r>
    </w:p>
    <w:p>
      <w:pPr>
        <w:spacing w:after="0" w:line="62" w:lineRule="exact"/>
        <w:rPr>
          <w:rFonts w:ascii="Arial" w:cs="Arial" w:eastAsia="Arial" w:hAnsi="Arial"/>
          <w:sz w:val="18"/>
          <w:szCs w:val="18"/>
          <w:color w:val="auto"/>
        </w:rPr>
      </w:pPr>
    </w:p>
    <w:p>
      <w:pPr>
        <w:ind w:left="920" w:right="60" w:firstLine="421"/>
        <w:spacing w:after="0" w:line="277" w:lineRule="auto"/>
        <w:tabs>
          <w:tab w:leader="none" w:pos="1635" w:val="left"/>
        </w:tabs>
        <w:numPr>
          <w:ilvl w:val="2"/>
          <w:numId w:val="121"/>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a QIB in accordance with Rule 144A, then the transferor must deliver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62" w:lineRule="exact"/>
        <w:rPr>
          <w:rFonts w:ascii="Arial" w:cs="Arial" w:eastAsia="Arial" w:hAnsi="Arial"/>
          <w:sz w:val="18"/>
          <w:szCs w:val="18"/>
          <w:color w:val="auto"/>
        </w:rPr>
      </w:pPr>
    </w:p>
    <w:p>
      <w:pPr>
        <w:ind w:left="920" w:right="420" w:firstLine="421"/>
        <w:spacing w:after="0" w:line="277" w:lineRule="auto"/>
        <w:tabs>
          <w:tab w:leader="none" w:pos="1625" w:val="left"/>
        </w:tabs>
        <w:numPr>
          <w:ilvl w:val="2"/>
          <w:numId w:val="121"/>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or</w:t>
      </w:r>
    </w:p>
    <w:p>
      <w:pPr>
        <w:spacing w:after="0" w:line="62" w:lineRule="exact"/>
        <w:rPr>
          <w:rFonts w:ascii="Arial" w:cs="Arial" w:eastAsia="Arial" w:hAnsi="Arial"/>
          <w:sz w:val="18"/>
          <w:szCs w:val="18"/>
          <w:color w:val="auto"/>
        </w:rPr>
      </w:pPr>
    </w:p>
    <w:p>
      <w:pPr>
        <w:ind w:left="920" w:right="20" w:firstLine="421"/>
        <w:spacing w:after="0" w:line="308" w:lineRule="auto"/>
        <w:tabs>
          <w:tab w:leader="none" w:pos="1625" w:val="left"/>
        </w:tabs>
        <w:numPr>
          <w:ilvl w:val="2"/>
          <w:numId w:val="121"/>
        </w:numPr>
        <w:rPr>
          <w:rFonts w:ascii="Arial" w:cs="Arial" w:eastAsia="Arial" w:hAnsi="Arial"/>
          <w:sz w:val="17"/>
          <w:szCs w:val="17"/>
          <w:color w:val="auto"/>
        </w:rPr>
      </w:pPr>
      <w:r>
        <w:rPr>
          <w:rFonts w:ascii="Arial" w:cs="Arial" w:eastAsia="Arial" w:hAnsi="Arial"/>
          <w:sz w:val="17"/>
          <w:szCs w:val="17"/>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required by item (3) thereof, if applicable.</w:t>
      </w:r>
    </w:p>
    <w:p>
      <w:pPr>
        <w:spacing w:after="0" w:line="38" w:lineRule="exact"/>
        <w:rPr>
          <w:rFonts w:ascii="Arial" w:cs="Arial" w:eastAsia="Arial" w:hAnsi="Arial"/>
          <w:sz w:val="17"/>
          <w:szCs w:val="17"/>
          <w:color w:val="auto"/>
        </w:rPr>
      </w:pPr>
    </w:p>
    <w:p>
      <w:pPr>
        <w:ind w:left="460" w:right="120" w:firstLine="443"/>
        <w:spacing w:after="0" w:line="264" w:lineRule="auto"/>
        <w:tabs>
          <w:tab w:leader="none" w:pos="1163"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Restricted Definitive Notes to Unrestricted Definitive Notes</w:t>
      </w:r>
      <w:r>
        <w:rPr>
          <w:rFonts w:ascii="Arial" w:cs="Arial" w:eastAsia="Arial" w:hAnsi="Arial"/>
          <w:sz w:val="18"/>
          <w:szCs w:val="18"/>
          <w:color w:val="auto"/>
        </w:rPr>
        <w:t>. Any Restricted Definitive Note may be exchanged by the Holder thereof for an Unrestricted Definitive Note or transferred to a Person or Persons who take delivery thereof in the form of an Unrestricted Definitive Note if the Registrar receives the following:</w:t>
      </w:r>
    </w:p>
    <w:p>
      <w:pPr>
        <w:spacing w:after="0" w:line="73" w:lineRule="exact"/>
        <w:rPr>
          <w:rFonts w:ascii="Arial" w:cs="Arial" w:eastAsia="Arial" w:hAnsi="Arial"/>
          <w:sz w:val="18"/>
          <w:szCs w:val="18"/>
          <w:color w:val="auto"/>
        </w:rPr>
      </w:pPr>
    </w:p>
    <w:p>
      <w:pPr>
        <w:ind w:left="920" w:right="320" w:firstLine="421"/>
        <w:spacing w:after="0" w:line="277" w:lineRule="auto"/>
        <w:tabs>
          <w:tab w:leader="none" w:pos="1635" w:val="left"/>
        </w:tabs>
        <w:numPr>
          <w:ilvl w:val="2"/>
          <w:numId w:val="121"/>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Notes proposes to exchange such Notes for an Unrestricted Definitive Note,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(1)(d) thereof; or</w:t>
      </w:r>
    </w:p>
    <w:p>
      <w:pPr>
        <w:spacing w:after="0" w:line="62" w:lineRule="exact"/>
        <w:rPr>
          <w:rFonts w:ascii="Arial" w:cs="Arial" w:eastAsia="Arial" w:hAnsi="Arial"/>
          <w:sz w:val="18"/>
          <w:szCs w:val="18"/>
          <w:color w:val="auto"/>
        </w:rPr>
      </w:pPr>
    </w:p>
    <w:p>
      <w:pPr>
        <w:ind w:left="920" w:firstLine="421"/>
        <w:spacing w:after="0" w:line="264" w:lineRule="auto"/>
        <w:tabs>
          <w:tab w:leader="none" w:pos="1625" w:val="left"/>
        </w:tabs>
        <w:numPr>
          <w:ilvl w:val="2"/>
          <w:numId w:val="121"/>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Notes proposes to transfer such Notes to a Person who shall take delivery thereof in the form of an Unrestricted Definitive Note, a certificate from such 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88" w:name="page89"/>
    <w:bookmarkEnd w:id="88"/>
    <w:p>
      <w:pPr>
        <w:ind w:left="860" w:right="140" w:firstLine="421"/>
        <w:spacing w:after="0" w:line="286" w:lineRule="auto"/>
        <w:tabs>
          <w:tab w:leader="none" w:pos="1565" w:val="left"/>
        </w:tabs>
        <w:numPr>
          <w:ilvl w:val="1"/>
          <w:numId w:val="1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 each such case,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57" w:lineRule="exact"/>
        <w:rPr>
          <w:rFonts w:ascii="Arial" w:cs="Arial" w:eastAsia="Arial" w:hAnsi="Arial"/>
          <w:sz w:val="17"/>
          <w:szCs w:val="17"/>
          <w:color w:val="auto"/>
        </w:rPr>
      </w:pPr>
    </w:p>
    <w:p>
      <w:pPr>
        <w:ind w:left="400" w:right="300" w:firstLine="443"/>
        <w:spacing w:after="0" w:line="264" w:lineRule="auto"/>
        <w:tabs>
          <w:tab w:leader="none" w:pos="1153"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Unrestricted Definitive Notes to Unrestricted Definitive Notes</w:t>
      </w:r>
      <w:r>
        <w:rPr>
          <w:rFonts w:ascii="Arial" w:cs="Arial" w:eastAsia="Arial" w:hAnsi="Arial"/>
          <w:sz w:val="18"/>
          <w:szCs w:val="18"/>
          <w:color w:val="auto"/>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73" w:lineRule="exact"/>
        <w:rPr>
          <w:sz w:val="20"/>
          <w:szCs w:val="20"/>
          <w:color w:val="auto"/>
        </w:rPr>
      </w:pPr>
    </w:p>
    <w:p>
      <w:pPr>
        <w:ind w:left="-60" w:right="700" w:firstLine="921"/>
        <w:spacing w:after="0" w:line="277" w:lineRule="auto"/>
        <w:tabs>
          <w:tab w:leader="none" w:pos="107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following legends shall appear on the face of all Global Notes and Definitive Notes issued under this Indenture unless specifically stated otherwise in the applicable provisions of this Indenture:</w:t>
      </w:r>
    </w:p>
    <w:p>
      <w:pPr>
        <w:spacing w:after="0" w:line="62" w:lineRule="exact"/>
        <w:rPr>
          <w:sz w:val="20"/>
          <w:szCs w:val="20"/>
          <w:color w:val="auto"/>
        </w:rPr>
      </w:pPr>
    </w:p>
    <w:p>
      <w:pPr>
        <w:ind w:left="1080" w:hanging="219"/>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Private Placement Legend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60" w:right="20" w:firstLine="421"/>
        <w:spacing w:after="0" w:line="277" w:lineRule="auto"/>
        <w:tabs>
          <w:tab w:leader="none" w:pos="157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62" w:lineRule="exact"/>
        <w:rPr>
          <w:sz w:val="20"/>
          <w:szCs w:val="20"/>
          <w:color w:val="auto"/>
        </w:rPr>
      </w:pPr>
    </w:p>
    <w:p>
      <w:pPr>
        <w:ind w:left="1440"/>
        <w:spacing w:after="0" w:line="267" w:lineRule="auto"/>
        <w:rPr>
          <w:sz w:val="20"/>
          <w:szCs w:val="20"/>
          <w:color w:val="auto"/>
        </w:rPr>
      </w:pPr>
      <w:r>
        <w:rPr>
          <w:rFonts w:ascii="Arial" w:cs="Arial" w:eastAsia="Arial" w:hAnsi="Arial"/>
          <w:sz w:val="17"/>
          <w:szCs w:val="17"/>
          <w:color w:val="auto"/>
        </w:rPr>
        <w:t>“THE NOTE EVIDENCED HEREBY WAS ORIGINALLY ISSUED IN A TRANSACTION EXEMPT FROM REGISTRATION UNDER SECTION 5 OF THE UNITED STATES SECURITIES ACT OF 1933, AS AMENDED (THE “SECURITIES ACT”), AND THE NOTE EVIDENCED HEREBY MAY NOT BE OFFERED, SOLD, PLEDGED OR OTHERWISE TRANSFERRED IN THE ABSENCE OF SUCH REGISTRATION OR AN APPLICABLE EXEMPTION THEREFROM. EACH PURCHASER OF THE NOTE EVIDENCED HEREBY IS HEREBY NOTIFIED THAT THE SELLER MAY BE RELYING ON THE EXEMPTION FROM THE PROVISIONS OF SECTION 5 OF THE SECURITIES ACT PROVIDED BY RULE 144A THEREUNDER. THE HOLDER OF THE NOTE EVIDENCED HEREBY AGREES FOR THE BENEFIT OF THE COMPANY THAT (A) SUCH NOTE MAY BE OFFERED, SOLD, PLEDGED OR OTHERWISE TRANSFERRED ONLY (1) (a) IN THE UNITED STATES TO A PERSON WHO THE SELLER REASONABLY BELIEVES IS A QUALIFIED INSTITUTIONAL BUYER (AS DEFINED IN RULE 144A UNDER THE SECURITIES ACT) IN A TRANSACTION MEETING THE REQUIREMENTS OF RULE 144A, (b) OUTSIDE THE UNITED STATES IN AN OFFSHORE TRANSACTION IN ACCORDANCE WITH RULE 904 UNDER THE SECURITIES ACT, (c) IN A TRANSACTION MEETING THE REQUIREMENTS OF RULE 144 UNDER THE SECURITIES ACT, (d) TO AN INSTITUTIONAL “ACCREDITED INVESTOR” (AS DEFINED IN RULE 501 (a) (1), (2), (3) OR (7) UNDER THE SECURITIES ACT) THAT, PRIOR TO SUCH TRANSFER, FURNISHES THE TRUSTEE A SIGNED LETTER CONTAINING CERTAIN REPRESENTATIONS AND AGREEMENTS (THE FORM OF WHICH CAN BE OBTAINED FROM THE TRUSTEE) AND, IF SUCH TRANSFER IS IN RESPECT OF AN AGGREGATE PRINCIPAL AMOUNT OF NOTES LESS THAN $250,000, AN OPINION OF COUNSEL ACCEPTABLE TO THE COMPANY THAT SUCH TRANSFER IS IN COMPLIANCE WITH THE SECURITIES ACT OR (e) 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300" w:top="274" w:right="299" w:bottom="1440" w:gutter="0" w:footer="0" w:header="0"/>
        </w:sectPr>
      </w:pPr>
    </w:p>
    <w:bookmarkStart w:id="89" w:name="page90"/>
    <w:bookmarkEnd w:id="89"/>
    <w:p>
      <w:pPr>
        <w:ind w:left="1040" w:right="32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ANOTHER EXEMPTION FROM THE REGISTRATION REQUIREMENTS OF THE SECURITIES ACT (AND BASED UPON AN OPINION OF COUNSEL IF THE COMPANY SO REQUESTS), (2) TO THE COMPANY OR</w:t>
      </w:r>
    </w:p>
    <w:p>
      <w:pPr>
        <w:ind w:left="1040" w:right="80" w:hanging="8"/>
        <w:spacing w:after="0" w:line="273" w:lineRule="auto"/>
        <w:tabs>
          <w:tab w:leader="none" w:pos="1295" w:val="left"/>
        </w:tabs>
        <w:numPr>
          <w:ilvl w:val="2"/>
          <w:numId w:val="126"/>
        </w:numPr>
        <w:rPr>
          <w:rFonts w:ascii="Arial" w:cs="Arial" w:eastAsia="Arial" w:hAnsi="Arial"/>
          <w:sz w:val="17"/>
          <w:szCs w:val="17"/>
          <w:color w:val="auto"/>
        </w:rPr>
      </w:pPr>
      <w:r>
        <w:rPr>
          <w:rFonts w:ascii="Arial" w:cs="Arial" w:eastAsia="Arial" w:hAnsi="Arial"/>
          <w:sz w:val="17"/>
          <w:szCs w:val="17"/>
          <w:color w:val="auto"/>
        </w:rPr>
        <w:t>PURSUANT TO AN EFFECTIVE REGISTRATION STATEMENT AND, IN EACH CASE, IN ACCORDANCE WITH ANY APPLICABLE SECURITIES LAWS OF ANY STATE OF THE UNITED STATES OR ANY OTHER APPLICABLE JURISDICTION AND (B) THE HOLDER WILL, AND EACH SUBSEQUENT HOLDER IS REQUIRED TO, NOTIFY ANY PURCHASER FROM IT OF THE NOTE EVIDENCED HEREBY OF THE RESALE RESTRICTIONS SET FORTH IN (A) ABOVE.”</w:t>
      </w:r>
    </w:p>
    <w:p>
      <w:pPr>
        <w:spacing w:after="0" w:line="68" w:lineRule="exact"/>
        <w:rPr>
          <w:rFonts w:ascii="Arial" w:cs="Arial" w:eastAsia="Arial" w:hAnsi="Arial"/>
          <w:sz w:val="17"/>
          <w:szCs w:val="17"/>
          <w:color w:val="auto"/>
        </w:rPr>
      </w:pPr>
    </w:p>
    <w:p>
      <w:pPr>
        <w:jc w:val="both"/>
        <w:ind w:left="460" w:right="140" w:firstLine="421"/>
        <w:spacing w:after="0" w:line="264" w:lineRule="auto"/>
        <w:tabs>
          <w:tab w:leader="none" w:pos="116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Notwithstanding the foregoing, any Global Note or Definitive Note issued pursuant to subparagraph (b)(iv), (c)(iii), (c)(iv), (d)(ii), (d) (iii), (e)(ii) or (e)(iii) of this Section 2.06 (and all Notes issued in exchange therefor or substitution thereof) shall not bear the Private Placement Legend.</w:t>
      </w:r>
    </w:p>
    <w:p>
      <w:pPr>
        <w:spacing w:after="0" w:line="73" w:lineRule="exact"/>
        <w:rPr>
          <w:rFonts w:ascii="Arial" w:cs="Arial" w:eastAsia="Arial" w:hAnsi="Arial"/>
          <w:sz w:val="18"/>
          <w:szCs w:val="18"/>
          <w:color w:val="auto"/>
        </w:rPr>
      </w:pPr>
    </w:p>
    <w:p>
      <w:pPr>
        <w:ind w:right="520" w:firstLine="443"/>
        <w:spacing w:after="0" w:line="277" w:lineRule="auto"/>
        <w:tabs>
          <w:tab w:leader="none" w:pos="703"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Global Note Legend</w:t>
      </w:r>
      <w:r>
        <w:rPr>
          <w:rFonts w:ascii="Arial" w:cs="Arial" w:eastAsia="Arial" w:hAnsi="Arial"/>
          <w:sz w:val="18"/>
          <w:szCs w:val="18"/>
          <w:color w:val="auto"/>
        </w:rPr>
        <w:t>. Each Global Note representing the Notes shall bear a legend in substantially the following form (with appropriate changes in the last sentence if DTC is not the Depositary):</w:t>
      </w:r>
    </w:p>
    <w:p>
      <w:pPr>
        <w:spacing w:after="0" w:line="62" w:lineRule="exact"/>
        <w:rPr>
          <w:sz w:val="20"/>
          <w:szCs w:val="20"/>
          <w:color w:val="auto"/>
        </w:rPr>
      </w:pPr>
    </w:p>
    <w:p>
      <w:pPr>
        <w:ind w:left="1040"/>
        <w:spacing w:after="0" w:line="267" w:lineRule="auto"/>
        <w:rPr>
          <w:sz w:val="20"/>
          <w:szCs w:val="20"/>
          <w:color w:val="auto"/>
        </w:rPr>
      </w:pPr>
      <w:r>
        <w:rPr>
          <w:rFonts w:ascii="Arial" w:cs="Arial" w:eastAsia="Arial" w:hAnsi="Arial"/>
          <w:sz w:val="17"/>
          <w:szCs w:val="17"/>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2.06(g)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74" w:right="239" w:bottom="1440" w:gutter="0" w:footer="0" w:header="0"/>
        </w:sectPr>
      </w:pPr>
    </w:p>
    <w:bookmarkStart w:id="90" w:name="page91"/>
    <w:bookmarkEnd w:id="90"/>
    <w:p>
      <w:pPr>
        <w:ind w:left="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(iii) </w:t>
      </w:r>
      <w:r>
        <w:rPr>
          <w:rFonts w:ascii="Arial" w:cs="Arial" w:eastAsia="Arial" w:hAnsi="Arial"/>
          <w:sz w:val="16"/>
          <w:szCs w:val="16"/>
          <w:u w:val="single" w:color="auto"/>
          <w:color w:val="auto"/>
        </w:rPr>
        <w:t>Regulation S Temporary Global Note Legend</w:t>
      </w:r>
      <w:r>
        <w:rPr>
          <w:rFonts w:ascii="Arial" w:cs="Arial" w:eastAsia="Arial" w:hAnsi="Arial"/>
          <w:sz w:val="16"/>
          <w:szCs w:val="16"/>
          <w:color w:val="auto"/>
        </w:rPr>
        <w:t>. The Regulation S Temporary Global Note shall bear a legend in substantially the following</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form:</w:t>
      </w:r>
    </w:p>
    <w:p>
      <w:pPr>
        <w:spacing w:after="0" w:line="103" w:lineRule="exact"/>
        <w:rPr>
          <w:sz w:val="20"/>
          <w:szCs w:val="20"/>
          <w:color w:val="auto"/>
        </w:rPr>
      </w:pPr>
    </w:p>
    <w:p>
      <w:pPr>
        <w:ind w:left="1460"/>
        <w:spacing w:after="0" w:line="255" w:lineRule="auto"/>
        <w:rPr>
          <w:sz w:val="20"/>
          <w:szCs w:val="20"/>
          <w:color w:val="auto"/>
        </w:rPr>
      </w:pPr>
      <w:r>
        <w:rPr>
          <w:rFonts w:ascii="Arial" w:cs="Arial" w:eastAsia="Arial" w:hAnsi="Arial"/>
          <w:sz w:val="18"/>
          <w:szCs w:val="18"/>
          <w:color w:val="auto"/>
        </w:rPr>
        <w:t>“THIS NOTE (OR ITS PREDECESSOR) WAS ORIGINALLY ISSUED IN A TRANSACTION ORIGINALLY EXEMPT FROM REGISTRATION UNDER THE U.S. SECURITIES ACT OF 1933, AS AMENDED (THE “SECURITIES ACT”), AND MAY NOT BE TRANSFERRED IN THE UNITED STATES OR TO, OR FOR THE ACCOUNT OR BENEFIT OF, ANY U.S. PERSON EXCEPT PURSUANT TO AN AVAILABLE EXEMPTION FROM THE REGISTRATION REQUIREMENTS OF THE SECURITIES ACT AND ALL APPLICABLE STATE SECURITIES LAWS. TERMS USED ABOVE HAVE THE MEANINGS GIVEN TO THEM IN REGULATION S UNDER THE SECURITIES ACT.”</w:t>
      </w:r>
    </w:p>
    <w:p>
      <w:pPr>
        <w:spacing w:after="0" w:line="85" w:lineRule="exact"/>
        <w:rPr>
          <w:sz w:val="20"/>
          <w:szCs w:val="20"/>
          <w:color w:val="auto"/>
        </w:rPr>
      </w:pPr>
    </w:p>
    <w:p>
      <w:pPr>
        <w:ind w:left="-40" w:right="40" w:firstLine="921"/>
        <w:spacing w:after="0" w:line="290" w:lineRule="auto"/>
        <w:tabs>
          <w:tab w:leader="none" w:pos="1128"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Cancellation and/or Adjustment of Global Notes</w:t>
      </w:r>
      <w:r>
        <w:rPr>
          <w:rFonts w:ascii="Arial" w:cs="Arial" w:eastAsia="Arial" w:hAnsi="Arial"/>
          <w:sz w:val="16"/>
          <w:szCs w:val="16"/>
          <w:color w:val="auto"/>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58" w:lineRule="exact"/>
        <w:rPr>
          <w:rFonts w:ascii="Arial" w:cs="Arial" w:eastAsia="Arial" w:hAnsi="Arial"/>
          <w:sz w:val="16"/>
          <w:szCs w:val="16"/>
          <w:color w:val="auto"/>
        </w:rPr>
      </w:pPr>
    </w:p>
    <w:p>
      <w:pPr>
        <w:ind w:left="1140" w:hanging="259"/>
        <w:spacing w:after="0"/>
        <w:tabs>
          <w:tab w:leader="none" w:pos="1140"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General Provisions Relating to Transfers and Exchanges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380" w:firstLine="443"/>
        <w:spacing w:after="0" w:line="277" w:lineRule="auto"/>
        <w:tabs>
          <w:tab w:leader="none" w:pos="107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Issuer shall execute and the Trustee shall authenticate Global Notes and Definitive Notes upon receipt of an Authentication Order in accordance with Section 2.02 hereof or at the Registrar’s request.</w:t>
      </w:r>
    </w:p>
    <w:p>
      <w:pPr>
        <w:spacing w:after="0" w:line="62" w:lineRule="exact"/>
        <w:rPr>
          <w:rFonts w:ascii="Arial" w:cs="Arial" w:eastAsia="Arial" w:hAnsi="Arial"/>
          <w:sz w:val="18"/>
          <w:szCs w:val="18"/>
          <w:color w:val="auto"/>
        </w:rPr>
      </w:pPr>
    </w:p>
    <w:p>
      <w:pPr>
        <w:ind w:left="420" w:right="20" w:firstLine="443"/>
        <w:spacing w:after="0" w:line="259" w:lineRule="auto"/>
        <w:tabs>
          <w:tab w:leader="none" w:pos="112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2.07, 2.10, 3.06, 3.09, 4.10, 4.14 and 9.04 hereof).</w:t>
      </w:r>
    </w:p>
    <w:p>
      <w:pPr>
        <w:spacing w:after="0" w:line="78" w:lineRule="exact"/>
        <w:rPr>
          <w:rFonts w:ascii="Arial" w:cs="Arial" w:eastAsia="Arial" w:hAnsi="Arial"/>
          <w:sz w:val="18"/>
          <w:szCs w:val="18"/>
          <w:color w:val="auto"/>
        </w:rPr>
      </w:pPr>
    </w:p>
    <w:p>
      <w:pPr>
        <w:ind w:left="420" w:right="140" w:firstLine="443"/>
        <w:spacing w:after="0" w:line="277" w:lineRule="auto"/>
        <w:tabs>
          <w:tab w:leader="none" w:pos="117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Neither the Registrar nor the Issuer shall be required to register the transfer of or exchange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left="420" w:right="20" w:firstLine="443"/>
        <w:spacing w:after="0" w:line="264" w:lineRule="auto"/>
        <w:tabs>
          <w:tab w:leader="none" w:pos="11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80" w:top="274" w:right="279" w:bottom="1440" w:gutter="0" w:footer="0" w:header="0"/>
        </w:sectPr>
      </w:pPr>
    </w:p>
    <w:bookmarkStart w:id="91" w:name="page92"/>
    <w:bookmarkEnd w:id="91"/>
    <w:p>
      <w:pPr>
        <w:ind w:left="460" w:right="180" w:firstLine="443"/>
        <w:spacing w:after="0" w:line="257" w:lineRule="auto"/>
        <w:tabs>
          <w:tab w:leader="none" w:pos="11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shall not be required (A) to issue, to register the transfer of or to exchange any Notes during a period beginning at the opening of business 15 days before the day of any selection of Notes for redemption under Section 3.02 hereof and ending at the close of business on the day of selection, (B) to register the transfer of or to exchange any Note so selected for redemption in whole or in part, except the unredeemed portion of any Note being redeemed in part or (C) to register the transfer of or to exchange a Note between a Record Date with respect to such Note and the next succeeding Interest Payment Date with respect to such Note.</w:t>
      </w:r>
    </w:p>
    <w:p>
      <w:pPr>
        <w:spacing w:after="0" w:line="80" w:lineRule="exact"/>
        <w:rPr>
          <w:rFonts w:ascii="Arial" w:cs="Arial" w:eastAsia="Arial" w:hAnsi="Arial"/>
          <w:sz w:val="18"/>
          <w:szCs w:val="18"/>
          <w:color w:val="auto"/>
        </w:rPr>
      </w:pPr>
    </w:p>
    <w:p>
      <w:pPr>
        <w:ind w:left="460" w:right="20" w:firstLine="443"/>
        <w:spacing w:after="0" w:line="312" w:lineRule="auto"/>
        <w:tabs>
          <w:tab w:leader="none" w:pos="120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premium, if any) and interest on such Notes and for all other purposes, and none of the Trustee, any Agent or the Issuer shall be affected by notice to the contrary.</w:t>
      </w:r>
    </w:p>
    <w:p>
      <w:pPr>
        <w:spacing w:after="0" w:line="38" w:lineRule="exact"/>
        <w:rPr>
          <w:rFonts w:ascii="Arial" w:cs="Arial" w:eastAsia="Arial" w:hAnsi="Arial"/>
          <w:sz w:val="16"/>
          <w:szCs w:val="16"/>
          <w:color w:val="auto"/>
        </w:rPr>
      </w:pPr>
    </w:p>
    <w:p>
      <w:pPr>
        <w:ind w:left="460" w:right="40" w:firstLine="443"/>
        <w:spacing w:after="0" w:line="264" w:lineRule="auto"/>
        <w:tabs>
          <w:tab w:leader="none" w:pos="12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Note at the office or agency of the Issuer designated pursuant to Section 4.02 hereof, the Issuer shall execute, and the Trustee shall authenticate and mail, in the name of the designated transferee or transferees, one or more replacement Notes of any authorized denomination or denominations of a like aggregate principal amount.</w:t>
      </w:r>
    </w:p>
    <w:p>
      <w:pPr>
        <w:spacing w:after="0" w:line="73" w:lineRule="exact"/>
        <w:rPr>
          <w:rFonts w:ascii="Arial" w:cs="Arial" w:eastAsia="Arial" w:hAnsi="Arial"/>
          <w:sz w:val="18"/>
          <w:szCs w:val="18"/>
          <w:color w:val="auto"/>
        </w:rPr>
      </w:pPr>
    </w:p>
    <w:p>
      <w:pPr>
        <w:ind w:left="460" w:right="100" w:firstLine="443"/>
        <w:spacing w:after="0" w:line="279" w:lineRule="auto"/>
        <w:tabs>
          <w:tab w:leader="none" w:pos="130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mail, the replacement Global Notes and Definitive Notes which the Holder making the exchange is entitled to in accordance with the provisions of Section 2.02 hereof.</w:t>
      </w:r>
    </w:p>
    <w:p>
      <w:pPr>
        <w:spacing w:after="0" w:line="63" w:lineRule="exact"/>
        <w:rPr>
          <w:rFonts w:ascii="Arial" w:cs="Arial" w:eastAsia="Arial" w:hAnsi="Arial"/>
          <w:sz w:val="17"/>
          <w:szCs w:val="17"/>
          <w:color w:val="auto"/>
        </w:rPr>
      </w:pPr>
    </w:p>
    <w:p>
      <w:pPr>
        <w:ind w:left="460" w:right="440" w:firstLine="443"/>
        <w:spacing w:after="0" w:line="277" w:lineRule="auto"/>
        <w:tabs>
          <w:tab w:leader="none" w:pos="120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Replacement Notes</w:t>
      </w:r>
      <w:r>
        <w:rPr>
          <w:rFonts w:ascii="Arial" w:cs="Arial" w:eastAsia="Arial" w:hAnsi="Arial"/>
          <w:sz w:val="16"/>
          <w:szCs w:val="16"/>
          <w:color w:val="auto"/>
        </w:rPr>
        <w:t>. If any mutilated Note is surrendered to the Trustee, the Registrar or the Issuer and the Trustee receives evidence to its satisfaction of the ownership and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and the Issuer to protect the Issuer, the Trustee, any Agent and any authenticating agent from any loss that any of them may suffer if a Note is replaced. The Issuer and the Trustee may charge the Holder for their expenses in replacing a Note.</w:t>
      </w:r>
    </w:p>
    <w:p>
      <w:pPr>
        <w:spacing w:after="0" w:line="158"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Every replacement Note is a contractual obligation of the Issuer and shall be entitled to all of the benefits of this Indenture equally and proportionately with all other Notes duly issued hereunder.</w:t>
      </w:r>
    </w:p>
    <w:p>
      <w:pPr>
        <w:spacing w:after="0" w:line="170"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Outstanding Notes</w:t>
      </w:r>
      <w:r>
        <w:rPr>
          <w:rFonts w:ascii="Arial" w:cs="Arial" w:eastAsia="Arial" w:hAnsi="Arial"/>
          <w:sz w:val="18"/>
          <w:szCs w:val="18"/>
          <w:color w:val="auto"/>
        </w:rPr>
        <w:t>. 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a Guarantor or an Affiliate of the Issuer or a Guarantor holds the Note.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92" w:name="page93"/>
    <w:bookmarkEnd w:id="92"/>
    <w:p>
      <w:pPr>
        <w:ind w:right="5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Note is replaced pursuant to Section 2.07 hereof, it ceases to be outstanding unless the Trustee receives proof satisfactory to it that the replaced Note is held by a protected purchaser (as defined in Section 8-303 of the Uniform Commercial Code).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 accrue.</w:t>
      </w:r>
    </w:p>
    <w:p>
      <w:pPr>
        <w:spacing w:after="0" w:line="24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If the Paying Agent (other than the Issuer, a Guarantor or an Affiliate of the Issuer or a Guarantor) holds, on a Redemption Date or maturity date, money sufficient to pay Notes (or portions thereof) payable on that date, then on and after that date such Notes (or portions thereof) shall be deemed to be no longer outstanding and shall cease to accrue interest.</w:t>
      </w:r>
    </w:p>
    <w:p>
      <w:pPr>
        <w:spacing w:after="0" w:line="181"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Treasury Notes</w:t>
      </w:r>
      <w:r>
        <w:rPr>
          <w:rFonts w:ascii="Arial" w:cs="Arial" w:eastAsia="Arial" w:hAnsi="Arial"/>
          <w:sz w:val="16"/>
          <w:szCs w:val="16"/>
          <w:color w:val="auto"/>
        </w:rPr>
        <w:t>. In determining whether the Holders of the required principal amount of Notes have concurred in any direction, waiver or consent, Notes owned by the Issuer, a Guarantor or by any Affiliate of the Issuer or a Guarantor,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a Guarantor or any obligor upon the Notes or any Affiliate of the Issuer, a Guarantor or of such other obligor.</w:t>
      </w:r>
    </w:p>
    <w:p>
      <w:pPr>
        <w:spacing w:after="0" w:line="165"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Temporary Notes</w:t>
      </w:r>
      <w:r>
        <w:rPr>
          <w:rFonts w:ascii="Arial" w:cs="Arial" w:eastAsia="Arial" w:hAnsi="Arial"/>
          <w:sz w:val="17"/>
          <w:szCs w:val="17"/>
          <w:color w:val="auto"/>
        </w:rPr>
        <w:t>. 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spacing w:after="0" w:line="17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Holders and beneficial holders, as the case may be, of temporary Notes shall be entitled to all of the benefits accorded to Holders, or beneficial holders, respectively, of Notes under this Indenture.</w:t>
      </w:r>
    </w:p>
    <w:p>
      <w:pPr>
        <w:spacing w:after="0" w:line="17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Cancellation</w:t>
      </w:r>
      <w:r>
        <w:rPr>
          <w:rFonts w:ascii="Arial" w:cs="Arial" w:eastAsia="Arial" w:hAnsi="Arial"/>
          <w:sz w:val="18"/>
          <w:szCs w:val="18"/>
          <w:color w:val="auto"/>
        </w:rPr>
        <w:t>. The Issuer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destroy cancelled Notes (subject to the record retention requirement of the Exchange Act). Certification of the destruction of all cancelled Notes shall be delivered to the Issuer. The Issuer may not issue new Notes to replace Notes that it has paid or that have been delivered to the Trustee for cancellation.</w:t>
      </w:r>
    </w:p>
    <w:p>
      <w:pPr>
        <w:spacing w:after="0" w:line="193"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Defaulted Interest</w:t>
      </w:r>
      <w:r>
        <w:rPr>
          <w:rFonts w:ascii="Arial" w:cs="Arial" w:eastAsia="Arial" w:hAnsi="Arial"/>
          <w:sz w:val="18"/>
          <w:szCs w:val="18"/>
          <w:color w:val="auto"/>
        </w:rPr>
        <w:t>. If the Issuer defaults in a payment of interest on the Notes, it shall pay the defaulted interest in any lawful manner plus, to the extent lawful, interest payable on the defaulted interest, in each case at the rate provided in the Notes and in Section 4.01 hereof. The Issuer may pay the defaulted interest to the Persons who are Holders on a subsequent special record date.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4" w:right="279" w:bottom="1440" w:gutter="0" w:footer="0" w:header="0"/>
        </w:sectPr>
      </w:pPr>
    </w:p>
    <w:bookmarkStart w:id="93" w:name="page94"/>
    <w:bookmarkEnd w:id="93"/>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Trustee shall fix or cause to be fixed any such special record date and payment date; provided that no such special record date shall be less than 10 days prior to the related payment date for such defaulted interest. The Trustee shall promptly notify the Issuer of any such special record date. At least 15 days before any such special record date, the Issuer (or, upon the written request of the Issuer, the Trustee in the name and at the expense of the Issuer) shall mail or cause to be mailed, first-class postage prepaid, to each Holder, with a copy to the Trustee, a notice at his or her address as it appears in the Note Register that states the special record date, the related payment date and the amount of such interest to be paid.</w:t>
      </w:r>
    </w:p>
    <w:p>
      <w:pPr>
        <w:spacing w:after="0" w:line="182"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which were carried by such other Note.</w:t>
      </w:r>
    </w:p>
    <w:p>
      <w:pPr>
        <w:spacing w:after="0" w:line="28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CUSIP/ISIN Numbers</w:t>
      </w:r>
      <w:r>
        <w:rPr>
          <w:rFonts w:ascii="Arial" w:cs="Arial" w:eastAsia="Arial" w:hAnsi="Arial"/>
          <w:sz w:val="16"/>
          <w:szCs w:val="16"/>
          <w:color w:val="auto"/>
        </w:rPr>
        <w:t xml:space="preserve">. The Issuer in issuing the Notes may use CUSIP and ISIN numbers (in each case, if then generally in use) and, if so, the Trustee shall use CUSIP and ISIN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redemption shall not be affected by any defect in or omission of such numbers. The Issuer will as promptly as practicable notify the Trustee in writing of any change in the CUSIP and ISIN numbers.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REDEMPTION</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Notices to Trustee</w:t>
      </w:r>
      <w:r>
        <w:rPr>
          <w:rFonts w:ascii="Arial" w:cs="Arial" w:eastAsia="Arial" w:hAnsi="Arial"/>
          <w:sz w:val="18"/>
          <w:szCs w:val="18"/>
          <w:color w:val="auto"/>
        </w:rPr>
        <w:t>. If the Issuer elects to redeem Notes pursuant to Section 3.07 hereof, it shall furnish to the Trustee, at least 2 Business Days before notice of redemption is required to be mailed or caused to be mailed to Holders pursuant to Section 3.03 hereof but not more than 60 days before a Redemption Date, an Officer’s Certificate of the Issuer setting forth (i) the paragraph or subparagraph of the Note and/or Section of this Indenture pursuant to which the redemption shall occur, (ii) the Redemption Date, (iii) the principal amount of the Notes to be redeemed and (iv) the redemption price.</w:t>
      </w:r>
    </w:p>
    <w:p>
      <w:pPr>
        <w:spacing w:after="0" w:line="18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Selection of Notes to Be Redeemed</w:t>
      </w:r>
      <w:r>
        <w:rPr>
          <w:rFonts w:ascii="Arial" w:cs="Arial" w:eastAsia="Arial" w:hAnsi="Arial"/>
          <w:sz w:val="18"/>
          <w:szCs w:val="18"/>
          <w:color w:val="auto"/>
        </w:rPr>
        <w:t xml:space="preserve">. If less than all of the Notes are to be redeemed at any time, the Trustee shall select the Notes to be redeemed (a) if the Notes are listed on any national securities exchange, in compliance with the requirements of the principal national securities exchange on which the Notes are listed or (b)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to the extent practicable, or, if the pro rata basis is not practicable for any reason, by lot or by such other method the Trustee shall deem fair and appropriate. In the event of partial redemption by lot, the particular Notes to be redeemed shall be selected, unless otherwise provided herein, not less than 30 nor more than 60 days prior to the Redemption Date by the Trustee from the outstanding Notes not previously called for redemption.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94" w:name="page95"/>
    <w:bookmarkEnd w:id="94"/>
    <w:p>
      <w:pPr>
        <w:ind w:right="2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promptly notify the Issuer in writing of the Notes selected for redemption and, in the case of any Note selected for partial redemption, the principal amount thereof to be redeemed. Notes and portions of Notes selected shall be in amounts of $2,000 or whole multiples of $1,000 in excess thereof; no Notes of less than $2,000 can be redeemed in part, except that if all of the Notes of a Holder are to be redeemed, the entire outstanding amount of Notes held by such Holder, even if not a multiple of $1,000 shall be redeemed. Except as provided in the preceding sentence, provisions of this Indenture that apply to Notes called for redemption also apply to portions of Notes called for redemption.</w:t>
      </w:r>
    </w:p>
    <w:p>
      <w:pPr>
        <w:spacing w:after="0" w:line="17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Subject to Section 3.09 hereof, the Issuer shall transmit or cause to be transmitted notices of redemption at least 30 days but not more than 60 days before the Redemption Date to each Holder of Notes to be redeemed at such Holder’s registered address or otherwise in accordance with Applicable Procedures, except that redemption notices may be transmitted more than 60 days prior to a Redemption Date if the notice is issued in connection with Article 8 or Article 12 hereof. Except pursuant to a notice of redemption delivered in accordance with a redemption pursuant to Sections 3.07(b) hereof, notices of redemption may not be conditional.</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notice shall identify the Notes to be redeemed and shall state:</w:t>
      </w:r>
    </w:p>
    <w:p>
      <w:pPr>
        <w:spacing w:after="0" w:line="117" w:lineRule="exact"/>
        <w:rPr>
          <w:sz w:val="20"/>
          <w:szCs w:val="20"/>
          <w:color w:val="auto"/>
        </w:rPr>
      </w:pPr>
    </w:p>
    <w:p>
      <w:pPr>
        <w:ind w:left="1160" w:hanging="239"/>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right="200" w:firstLine="921"/>
        <w:spacing w:after="0" w:line="312" w:lineRule="auto"/>
        <w:tabs>
          <w:tab w:leader="none" w:pos="115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any Note is to be redeemed in part only, the portion of the principal amount of that Note that is to be redeemed and that, after the Redemption Date upon surrender of such Note, a new Note or Notes in principal amount equal to the unredeemed portion of the original Note representing the same indebtedness to the extent not redeemed will be issued in the name of the Holder of the Notes upon cancellation of the original Note;</w:t>
      </w:r>
    </w:p>
    <w:p>
      <w:pPr>
        <w:spacing w:after="0" w:line="38" w:lineRule="exact"/>
        <w:rPr>
          <w:rFonts w:ascii="Arial" w:cs="Arial" w:eastAsia="Arial" w:hAnsi="Arial"/>
          <w:sz w:val="16"/>
          <w:szCs w:val="16"/>
          <w:color w:val="auto"/>
        </w:rPr>
      </w:pPr>
    </w:p>
    <w:p>
      <w:pPr>
        <w:ind w:left="1180" w:hanging="259"/>
        <w:spacing w:after="0"/>
        <w:tabs>
          <w:tab w:leader="none" w:pos="1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right="100" w:firstLine="921"/>
        <w:spacing w:after="0" w:line="277" w:lineRule="auto"/>
        <w:tabs>
          <w:tab w:leader="none" w:pos="113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that, unless the Issuer defaults in making such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paragraph or subparagraph of the Notes and/or Section of this Indenture pursuant to which the Notes called for redemption are being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redeemed;</w:t>
      </w:r>
    </w:p>
    <w:p>
      <w:pPr>
        <w:spacing w:after="0" w:line="102" w:lineRule="exact"/>
        <w:rPr>
          <w:rFonts w:ascii="Arial" w:cs="Arial" w:eastAsia="Arial" w:hAnsi="Arial"/>
          <w:sz w:val="16"/>
          <w:szCs w:val="16"/>
          <w:color w:val="auto"/>
        </w:rPr>
      </w:pPr>
    </w:p>
    <w:p>
      <w:pPr>
        <w:ind w:firstLine="921"/>
        <w:spacing w:after="0" w:line="277" w:lineRule="auto"/>
        <w:tabs>
          <w:tab w:leader="none" w:pos="11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CUSIP and ISIN number, if any, printed on the Notes being redeemed and that no representation is made as to the correctness or accuracy of any such CUSIP and ISIN number that is listed in such notice or printed on the Notes; and</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in connection with a redemption pursuant to Section 3.07(b) hereof, any condition to such redemption.</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At the Issuer’s request, the Trustee shall give the notice of redemption in the Issuer’s name and at its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Issuer shall have delivered to the Trustee, at least 2 Business Days before notice of redemption is required to be transmitted or caused to be transmitted to Holders pursuant to this Section 3.03 (unless a shorter notice shall be agreed to by the Trustee), an Officer’s Certificate of the Issuer requesting that the Trustee give such notice and setting forth the information to be stated in such notice as provided in the preceding paragraph.</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74" w:right="299" w:bottom="1440" w:gutter="0" w:footer="0" w:header="0"/>
        </w:sectPr>
      </w:pPr>
    </w:p>
    <w:bookmarkStart w:id="95" w:name="page96"/>
    <w:bookmarkEnd w:id="95"/>
    <w:p>
      <w:pPr>
        <w:jc w:val="both"/>
        <w:ind w:right="6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 Once notice of redemption is transmitted in accordance with Section 3.03 hereof, Notes called for redemption become irrevocably due and payable on the Redemption Date at the redemption price (except as provided for in Sections 3.07(b) hereof). The notice, if transmitted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hereof, on and after the Redemption Date, interest ceases to accrue on Notes or portions of Notes called for redemption.</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259" w:lineRule="auto"/>
        <w:tabs>
          <w:tab w:leader="none" w:pos="11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Prior to 11:00 a.m. (New York City time) on the Redemption Date, the Issuer shall deposit with the Trustee or with the Paying Agent money sufficient to pay the redemption price of and accrued and unpaid interest on all Notes to be redeemed on that Redemption Date. The Trustee or the Paying Agent shall promptly return to the Issuer any money deposited with the Trustee or the Paying Agent by the Issuer in excess of the amounts necessary to pay the redemption price of, and accrued and unpaid interest on, all Notes to be redeemed.</w:t>
      </w:r>
    </w:p>
    <w:p>
      <w:pPr>
        <w:spacing w:after="0" w:line="78" w:lineRule="exact"/>
        <w:rPr>
          <w:rFonts w:ascii="Arial" w:cs="Arial" w:eastAsia="Arial" w:hAnsi="Arial"/>
          <w:sz w:val="18"/>
          <w:szCs w:val="18"/>
          <w:color w:val="auto"/>
        </w:rPr>
      </w:pPr>
    </w:p>
    <w:p>
      <w:pPr>
        <w:ind w:firstLine="921"/>
        <w:spacing w:after="0" w:line="255" w:lineRule="auto"/>
        <w:tabs>
          <w:tab w:leader="none" w:pos="11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Issuer complies with the provisions of the preceding paragraph (a), on and after the Redemption Date, interest shall cease to accrue on the applicable series of Notes or the portions of Notes called for redemption. If a Note is redeemed on or after a Record Date but on or prior to the related Interest Payment Date, then any accrued and unpaid interest to the Redemption Date shall be paid to the Person in whose name such Note was registered at the close of business on such Record Date. If any Note called for redemption shall not be so paid upon surrender for redemption because of the failure of the Issuer to comply with the preceding paragraph, interest shall be paid on the unpaid principal, from the Redemption Date until such principal is paid, and to the extent lawful on any interest accrued to the Redemption Date not paid on such unpaid principal, in each case at the rate provided in the Notes and in Section 4.01 hereof.</w:t>
      </w:r>
    </w:p>
    <w:p>
      <w:pPr>
        <w:spacing w:after="0" w:line="189"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Notes Redeemed in Part</w:t>
      </w:r>
      <w:r>
        <w:rPr>
          <w:rFonts w:ascii="Arial" w:cs="Arial" w:eastAsia="Arial" w:hAnsi="Arial"/>
          <w:sz w:val="17"/>
          <w:szCs w:val="17"/>
          <w:color w:val="auto"/>
        </w:rPr>
        <w:t>. Upon surrender of a Note that is redeemed in part, the Issuer shall issue and the Trustee shall authenticate for the Holder at the expense of the Issuer a new Note equal in principal amount to the unredeemed portion of the Note surrendered representing the same indebtedness to the extent not redeemed; provided that each new Note will be in a principal amount of $2,000 or an integral multiple of $1,000 in excess thereof. It is understood that, notwithstanding anything in this Indenture to the contrary, only an Authentication Order and not an Opinion of Counsel or Officer’s Certificate of the Issuer is required for the Trustee to authenticate such new Note.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59" w:lineRule="auto"/>
        <w:tabs>
          <w:tab w:leader="none" w:pos="115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any time prior to May 15, 2016, the Issuer may redeem all or a part of the Notes, upon notice in accordance with Section 3.03, at a redemption price equal to 100% of the principal amount of the Notes redeemed plus the Applicable Premium as of, and accrued and unpaid interest, if any, to, the date of redemption (the “Redemption Date”), subject to the right of Holders of record on the relevant record date to receive interest due on the relevant interest payment date.</w:t>
      </w:r>
    </w:p>
    <w:p>
      <w:pPr>
        <w:spacing w:after="0" w:line="78" w:lineRule="exact"/>
        <w:rPr>
          <w:rFonts w:ascii="Arial" w:cs="Arial" w:eastAsia="Arial" w:hAnsi="Arial"/>
          <w:sz w:val="18"/>
          <w:szCs w:val="18"/>
          <w:color w:val="auto"/>
        </w:rPr>
      </w:pPr>
    </w:p>
    <w:p>
      <w:pPr>
        <w:jc w:val="both"/>
        <w:ind w:right="180" w:firstLine="921"/>
        <w:spacing w:after="0" w:line="259" w:lineRule="auto"/>
        <w:tabs>
          <w:tab w:leader="none" w:pos="116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Until May 15, 2016, the Issuer may, at its option, redeem up to 35% of the aggregate principal amount of Notes issued by it at a redemption price equal to 105.000% of the aggregate principal amount thereof, plus accrued and unpaid interest, if any, to, the Redemption Date, subject to the right of Holders of Notes of record on the relevant record date to receive interest due on the relevant interest payment date, with the net cash proceeds received by it from one or more Equity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96" w:name="page97"/>
    <w:bookmarkEnd w:id="96"/>
    <w:p>
      <w:pPr>
        <w:ind w:right="4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Offerings;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at least 50% of the sum of the aggregate principal amount of Notes originally issued under this Indenture and any Additional Notes that are Notes issued under this Indenture after the Issue Date remain outstanding immediately after the occurrence of each such redemption; and</w:t>
      </w:r>
    </w:p>
    <w:p>
      <w:pPr>
        <w:ind w:left="280" w:hanging="272"/>
        <w:spacing w:after="0"/>
        <w:tabs>
          <w:tab w:leader="none" w:pos="2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such redemption occurs within 180 days of the date of closing of each such Equity Offering.</w:t>
      </w:r>
    </w:p>
    <w:p>
      <w:pPr>
        <w:spacing w:after="0" w:line="102" w:lineRule="exact"/>
        <w:rPr>
          <w:rFonts w:ascii="Arial" w:cs="Arial" w:eastAsia="Arial" w:hAnsi="Arial"/>
          <w:sz w:val="18"/>
          <w:szCs w:val="18"/>
          <w:color w:val="auto"/>
        </w:rPr>
      </w:pPr>
    </w:p>
    <w:p>
      <w:pPr>
        <w:ind w:left="1160" w:hanging="239"/>
        <w:spacing w:after="0"/>
        <w:tabs>
          <w:tab w:leader="none" w:pos="116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Except pursuant to clause (a) or (b) of this Section 3.07, the Notes will not be redeemable at the Issuer’s option prior to May 15, 2016.</w:t>
      </w:r>
    </w:p>
    <w:p>
      <w:pPr>
        <w:spacing w:after="0" w:line="128" w:lineRule="exact"/>
        <w:rPr>
          <w:rFonts w:ascii="Arial" w:cs="Arial" w:eastAsia="Arial" w:hAnsi="Arial"/>
          <w:sz w:val="17"/>
          <w:szCs w:val="17"/>
          <w:color w:val="auto"/>
        </w:rPr>
      </w:pPr>
    </w:p>
    <w:p>
      <w:pPr>
        <w:ind w:right="80" w:firstLine="921"/>
        <w:spacing w:after="0" w:line="259" w:lineRule="auto"/>
        <w:tabs>
          <w:tab w:leader="none" w:pos="116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On and after May 15, 2016, the Issuer may redeem the Notes, in whole or in part, upon notice in accordance with Section 3.03 at the redemption prices (expressed as percentages of principal amount of the Notes to be redeemed) set forth below, plus accrued and unpaid interest, if any, to the Redemption Date, subject to the right of Holders of record on the relevant record date to receive interest due on the relevant interest payment date, if redeemed during the twelvemonth period beginning on May 15 of each of the years indicated below:</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3840" w:type="dxa"/>
            <w:vAlign w:val="bottom"/>
          </w:tcPr>
          <w:p>
            <w:pPr>
              <w:spacing w:after="0"/>
              <w:rPr>
                <w:sz w:val="14"/>
                <w:szCs w:val="14"/>
                <w:color w:val="auto"/>
              </w:rPr>
            </w:pPr>
          </w:p>
        </w:tc>
        <w:tc>
          <w:tcPr>
            <w:tcW w:w="3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4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2016</w:t>
            </w:r>
          </w:p>
        </w:tc>
        <w:tc>
          <w:tcPr>
            <w:tcW w:w="27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gridSpan w:val="2"/>
            <w:vMerge w:val="continue"/>
            <w:shd w:val="clear" w:color="auto" w:fill="CCEEFF"/>
          </w:tcPr>
          <w:p>
            <w:pPr>
              <w:spacing w:after="0"/>
              <w:rPr>
                <w:sz w:val="17"/>
                <w:szCs w:val="17"/>
                <w:color w:val="auto"/>
              </w:rPr>
            </w:pPr>
          </w:p>
        </w:tc>
        <w:tc>
          <w:tcPr>
            <w:tcW w:w="27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103.750%</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2017</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102.500%</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101.250%</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2019 and thereafter</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 Any redemption pursuant to this Section 3.07 shall be made pursuant to the provisions of Sections 3.01 through 3.06 hereof.</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Mandatory Redemption</w:t>
      </w:r>
      <w:r>
        <w:rPr>
          <w:rFonts w:ascii="Arial" w:cs="Arial" w:eastAsia="Arial" w:hAnsi="Arial"/>
          <w:sz w:val="18"/>
          <w:szCs w:val="18"/>
          <w:color w:val="auto"/>
        </w:rPr>
        <w:t>. The Issuer shall not be required to make any mandatory redemption or sinking fund payments with respect to the Notes.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Offers to Repurchase by Application of Excess Proceeds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77" w:lineRule="auto"/>
        <w:tabs>
          <w:tab w:leader="none" w:pos="115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event that, pursuant to Section 4.10 hereof, the Issuer shall be required to commence an Asset Sale Offer, it shall follow the procedures specified below.</w:t>
      </w:r>
    </w:p>
    <w:p>
      <w:pPr>
        <w:spacing w:after="0" w:line="62" w:lineRule="exact"/>
        <w:rPr>
          <w:rFonts w:ascii="Arial" w:cs="Arial" w:eastAsia="Arial" w:hAnsi="Arial"/>
          <w:sz w:val="18"/>
          <w:szCs w:val="18"/>
          <w:color w:val="auto"/>
        </w:rPr>
      </w:pPr>
    </w:p>
    <w:p>
      <w:pPr>
        <w:ind w:firstLine="921"/>
        <w:spacing w:after="0" w:line="255" w:lineRule="auto"/>
        <w:tabs>
          <w:tab w:leader="none" w:pos="116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Asset Sale Offer shall remain open for a period of 20 Business Days following its commencement and no longer, except to the extent that a longer period is required by applicable law (the “</w:t>
      </w:r>
      <w:r>
        <w:rPr>
          <w:rFonts w:ascii="Arial" w:cs="Arial" w:eastAsia="Arial" w:hAnsi="Arial"/>
          <w:sz w:val="18"/>
          <w:szCs w:val="18"/>
          <w:u w:val="single" w:color="auto"/>
          <w:color w:val="auto"/>
        </w:rPr>
        <w:t>Offer Period</w:t>
      </w:r>
      <w:r>
        <w:rPr>
          <w:rFonts w:ascii="Arial" w:cs="Arial" w:eastAsia="Arial" w:hAnsi="Arial"/>
          <w:sz w:val="18"/>
          <w:szCs w:val="18"/>
          <w:color w:val="auto"/>
        </w:rPr>
        <w:t>”). No later than five Business Days after the termination of the Offer Period (the “</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Issuer shall apply all Excess Proceeds (the “</w:t>
      </w:r>
      <w:r>
        <w:rPr>
          <w:rFonts w:ascii="Arial" w:cs="Arial" w:eastAsia="Arial" w:hAnsi="Arial"/>
          <w:sz w:val="18"/>
          <w:szCs w:val="18"/>
          <w:u w:val="single" w:color="auto"/>
          <w:color w:val="auto"/>
        </w:rPr>
        <w:t>Offer Amount</w:t>
      </w:r>
      <w:r>
        <w:rPr>
          <w:rFonts w:ascii="Arial" w:cs="Arial" w:eastAsia="Arial" w:hAnsi="Arial"/>
          <w:sz w:val="18"/>
          <w:szCs w:val="18"/>
          <w:color w:val="auto"/>
        </w:rPr>
        <w:t>”) to the purchase of Notes and, if required, any other Indebtedness constituting First Lien Obligations (on a pro rata basis, if applicable), or, if less than the Offer Amount has been tendered, all Notes and any other Indebtedness constituting First Lien Obligations tendered in response to the Asset Sale Offer. Payment for any Notes so purchased shall be made in the same manner as interest payments are made.</w:t>
      </w:r>
    </w:p>
    <w:p>
      <w:pPr>
        <w:spacing w:after="0" w:line="85" w:lineRule="exact"/>
        <w:rPr>
          <w:rFonts w:ascii="Arial" w:cs="Arial" w:eastAsia="Arial" w:hAnsi="Arial"/>
          <w:sz w:val="18"/>
          <w:szCs w:val="18"/>
          <w:color w:val="auto"/>
        </w:rPr>
      </w:pPr>
    </w:p>
    <w:p>
      <w:pPr>
        <w:ind w:right="240" w:firstLine="921"/>
        <w:spacing w:after="0" w:line="264" w:lineRule="auto"/>
        <w:tabs>
          <w:tab w:leader="none" w:pos="115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Purchase Date is on or after a Record Date and on or before the related Interest Payment Date, any accrued and unpaid interest, up to but excluding the Purchase Date, shall be paid to the Person in whose name a Note is registered at the close of business on such Record Date, and no additional interest shall be payable to Holders who tender Notes pursuant to the Asset Sale Offer.</w:t>
      </w:r>
    </w:p>
    <w:p>
      <w:pPr>
        <w:spacing w:after="0" w:line="73" w:lineRule="exact"/>
        <w:rPr>
          <w:rFonts w:ascii="Arial" w:cs="Arial" w:eastAsia="Arial" w:hAnsi="Arial"/>
          <w:sz w:val="18"/>
          <w:szCs w:val="18"/>
          <w:color w:val="auto"/>
        </w:rPr>
      </w:pPr>
    </w:p>
    <w:p>
      <w:pPr>
        <w:ind w:right="100" w:firstLine="921"/>
        <w:spacing w:after="0" w:line="259" w:lineRule="auto"/>
        <w:tabs>
          <w:tab w:leader="none" w:pos="116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Upon the commencement of an Asset Sale Offer, the Issuer shall send, by first-class mail, postage prepaid, a notice to each of the Holders, with a copy to the Trustee. The notice shall contain all instructions and materials necessary to enable such Holders to tender Notes pursuant to the Asset Sale Offer. The Asset Sale Offer shall be made to all Holders and holders of any other Indebtedness constituting First Lien Obligations. The notice, which shall govern the terms of the Asset Sale Offer, shall state: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97" w:name="page98"/>
    <w:bookmarkEnd w:id="97"/>
    <w:p>
      <w:pPr>
        <w:ind w:left="452" w:right="100" w:firstLine="443"/>
        <w:spacing w:after="0" w:line="277" w:lineRule="auto"/>
        <w:tabs>
          <w:tab w:leader="none" w:pos="1105" w:val="left"/>
        </w:tabs>
        <w:numPr>
          <w:ilvl w:val="1"/>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Asset Sale Offer is being made pursuant to this Section 3.09 and Section 4.10 hereof and the length of time the Asset Sale Offer shall remain open;</w:t>
      </w:r>
    </w:p>
    <w:p>
      <w:pPr>
        <w:spacing w:after="0" w:line="62" w:lineRule="exact"/>
        <w:rPr>
          <w:rFonts w:ascii="Arial" w:cs="Arial" w:eastAsia="Arial" w:hAnsi="Arial"/>
          <w:sz w:val="18"/>
          <w:szCs w:val="18"/>
          <w:color w:val="auto"/>
        </w:rPr>
      </w:pPr>
    </w:p>
    <w:p>
      <w:pPr>
        <w:ind w:left="1152" w:hanging="257"/>
        <w:spacing w:after="0"/>
        <w:tabs>
          <w:tab w:leader="none" w:pos="115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117" w:lineRule="exact"/>
        <w:rPr>
          <w:rFonts w:ascii="Arial" w:cs="Arial" w:eastAsia="Arial" w:hAnsi="Arial"/>
          <w:sz w:val="18"/>
          <w:szCs w:val="18"/>
          <w:color w:val="auto"/>
        </w:rPr>
      </w:pPr>
    </w:p>
    <w:p>
      <w:pPr>
        <w:ind w:left="1212" w:hanging="317"/>
        <w:spacing w:after="0"/>
        <w:tabs>
          <w:tab w:leader="none" w:pos="121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shall continue to accrue interest;</w:t>
      </w:r>
    </w:p>
    <w:p>
      <w:pPr>
        <w:spacing w:after="0" w:line="117" w:lineRule="exact"/>
        <w:rPr>
          <w:rFonts w:ascii="Arial" w:cs="Arial" w:eastAsia="Arial" w:hAnsi="Arial"/>
          <w:sz w:val="18"/>
          <w:szCs w:val="18"/>
          <w:color w:val="auto"/>
        </w:rPr>
      </w:pPr>
    </w:p>
    <w:p>
      <w:pPr>
        <w:ind w:left="452" w:firstLine="443"/>
        <w:spacing w:after="0" w:line="277" w:lineRule="auto"/>
        <w:tabs>
          <w:tab w:leader="none" w:pos="119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that, unless the Issuer defaults in making such payment, any Note accepted for payment pursuant to the Asset Sale Offer shall cease to accrue interest after the Purchase Date;</w:t>
      </w:r>
    </w:p>
    <w:p>
      <w:pPr>
        <w:spacing w:after="0" w:line="62" w:lineRule="exact"/>
        <w:rPr>
          <w:rFonts w:ascii="Arial" w:cs="Arial" w:eastAsia="Arial" w:hAnsi="Arial"/>
          <w:sz w:val="18"/>
          <w:szCs w:val="18"/>
          <w:color w:val="auto"/>
        </w:rPr>
      </w:pPr>
    </w:p>
    <w:p>
      <w:pPr>
        <w:ind w:left="452" w:right="240" w:firstLine="443"/>
        <w:spacing w:after="0" w:line="277" w:lineRule="auto"/>
        <w:tabs>
          <w:tab w:leader="none" w:pos="114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that any Holder electing to have less than all of the aggregate principal amount of its Notes purchased pursuant to an Asset Sale Offer may elect to have Notes purchased in denominations of $2,000 or whole multiples of $1,000 in excess thereof;</w:t>
      </w:r>
    </w:p>
    <w:p>
      <w:pPr>
        <w:spacing w:after="0" w:line="62" w:lineRule="exact"/>
        <w:rPr>
          <w:rFonts w:ascii="Arial" w:cs="Arial" w:eastAsia="Arial" w:hAnsi="Arial"/>
          <w:sz w:val="18"/>
          <w:szCs w:val="18"/>
          <w:color w:val="auto"/>
        </w:rPr>
      </w:pPr>
    </w:p>
    <w:p>
      <w:pPr>
        <w:jc w:val="both"/>
        <w:ind w:left="452" w:right="540" w:firstLine="443"/>
        <w:spacing w:after="0" w:line="312" w:lineRule="auto"/>
        <w:tabs>
          <w:tab w:leader="none" w:pos="1195"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that Holders electing to have a Note purchased pursuant to any Asset Sale Offer shall be required to surrender the Note, with the form entitled “Option of Holder to Elect Purchase” attached to the Note completed, or transfer by book-entry transfer, to the Issuer, the Depositary, if appointed by the Issuer, or a Paying Agent at the address specified in the notice at least two Business Days before the Purchase Date;</w:t>
      </w:r>
    </w:p>
    <w:p>
      <w:pPr>
        <w:spacing w:after="0" w:line="38" w:lineRule="exact"/>
        <w:rPr>
          <w:rFonts w:ascii="Arial" w:cs="Arial" w:eastAsia="Arial" w:hAnsi="Arial"/>
          <w:sz w:val="16"/>
          <w:szCs w:val="16"/>
          <w:color w:val="auto"/>
        </w:rPr>
      </w:pPr>
    </w:p>
    <w:p>
      <w:pPr>
        <w:ind w:left="452" w:right="40" w:firstLine="443"/>
        <w:spacing w:after="0" w:line="286" w:lineRule="auto"/>
        <w:tabs>
          <w:tab w:leader="none" w:pos="1245"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that Holders shall be entitled to withdraw their election if the Issuer,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spacing w:after="0" w:line="57" w:lineRule="exact"/>
        <w:rPr>
          <w:rFonts w:ascii="Arial" w:cs="Arial" w:eastAsia="Arial" w:hAnsi="Arial"/>
          <w:sz w:val="17"/>
          <w:szCs w:val="17"/>
          <w:color w:val="auto"/>
        </w:rPr>
      </w:pPr>
    </w:p>
    <w:p>
      <w:pPr>
        <w:ind w:left="452" w:firstLine="443"/>
        <w:spacing w:after="0" w:line="257" w:lineRule="auto"/>
        <w:tabs>
          <w:tab w:leader="none" w:pos="129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that, if the aggregate principal amount of Notes and any other Indebtedness constituting First Lien Obligations surrendered by the holders thereof exceeds the Offer Amount, the Trustee shall select the Notes and such other Indebtedness constituting First Lien Obligations to be purchased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based on the accreted value or principal amount of the Notes or such other Indebtedness constituting First Lien Obligations tendered (with such adjustments as may be deemed appropriate by the Trustee so that only Notes in denominations of $2,000 or whole multiples of $1,000 in excess thereof are purchased); and</w:t>
      </w:r>
    </w:p>
    <w:p>
      <w:pPr>
        <w:spacing w:after="0" w:line="80" w:lineRule="exact"/>
        <w:rPr>
          <w:rFonts w:ascii="Arial" w:cs="Arial" w:eastAsia="Arial" w:hAnsi="Arial"/>
          <w:sz w:val="18"/>
          <w:szCs w:val="18"/>
          <w:color w:val="auto"/>
        </w:rPr>
      </w:pPr>
    </w:p>
    <w:p>
      <w:pPr>
        <w:ind w:left="452" w:right="40" w:firstLine="443"/>
        <w:spacing w:after="0" w:line="308" w:lineRule="auto"/>
        <w:tabs>
          <w:tab w:leader="none" w:pos="1195"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that Holders whose Notes were purchased only in part shall be issued new Notes equal in principal amount to the unpurchased portion of the Notes surrendered (or transferred by book-entry transfer) representing the same indebtedness to the extent not repurchased.</w:t>
      </w:r>
    </w:p>
    <w:p>
      <w:pPr>
        <w:spacing w:after="0" w:line="38" w:lineRule="exact"/>
        <w:rPr>
          <w:rFonts w:ascii="Arial" w:cs="Arial" w:eastAsia="Arial" w:hAnsi="Arial"/>
          <w:sz w:val="17"/>
          <w:szCs w:val="17"/>
          <w:color w:val="auto"/>
        </w:rPr>
      </w:pPr>
    </w:p>
    <w:p>
      <w:pPr>
        <w:ind w:left="1152" w:hanging="239"/>
        <w:spacing w:after="0"/>
        <w:tabs>
          <w:tab w:leader="none" w:pos="1152" w:val="left"/>
        </w:tabs>
        <w:numPr>
          <w:ilvl w:val="2"/>
          <w:numId w:val="137"/>
        </w:numPr>
        <w:rPr>
          <w:rFonts w:ascii="Arial" w:cs="Arial" w:eastAsia="Arial" w:hAnsi="Arial"/>
          <w:sz w:val="16"/>
          <w:szCs w:val="16"/>
          <w:color w:val="auto"/>
        </w:rPr>
      </w:pPr>
      <w:r>
        <w:rPr>
          <w:rFonts w:ascii="Arial" w:cs="Arial" w:eastAsia="Arial" w:hAnsi="Arial"/>
          <w:sz w:val="16"/>
          <w:szCs w:val="16"/>
          <w:color w:val="auto"/>
        </w:rPr>
        <w:t xml:space="preserve">On or before the Purchase Date, the Issuer shall, to the extent lawful, (1) accept for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as described in clause (d)</w:t>
      </w:r>
    </w:p>
    <w:p>
      <w:pPr>
        <w:spacing w:after="0" w:line="46" w:lineRule="exact"/>
        <w:rPr>
          <w:rFonts w:ascii="Arial" w:cs="Arial" w:eastAsia="Arial" w:hAnsi="Arial"/>
          <w:sz w:val="16"/>
          <w:szCs w:val="16"/>
          <w:color w:val="auto"/>
        </w:rPr>
      </w:pPr>
    </w:p>
    <w:p>
      <w:pPr>
        <w:ind w:left="-8" w:right="20" w:firstLine="8"/>
        <w:spacing w:after="0" w:line="255" w:lineRule="auto"/>
        <w:tabs>
          <w:tab w:leader="none" w:pos="39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of this Section 3.09, the Offer Amount of Notes or portions thereof validly tendered pursuant to the Asset Sale Offer, or if less than the Offer Amount has been tendered, all Notes tendered and (2) deliver or cause to be delivered to the Trustee the Notes properly accepted together with an Officer’s Certificate stating the aggregate principal amount of Notes or portions thereof so tendered.</w:t>
      </w:r>
    </w:p>
    <w:p>
      <w:pPr>
        <w:spacing w:after="0" w:line="1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72"/>
          </w:cols>
          <w:pgMar w:left="248" w:top="274" w:right="279" w:bottom="1440" w:gutter="0" w:footer="0" w:header="0"/>
        </w:sectPr>
      </w:pPr>
    </w:p>
    <w:bookmarkStart w:id="98" w:name="page99"/>
    <w:bookmarkEnd w:id="98"/>
    <w:p>
      <w:pPr>
        <w:ind w:right="40" w:firstLine="921"/>
        <w:spacing w:after="0" w:line="291" w:lineRule="auto"/>
        <w:tabs>
          <w:tab w:leader="none" w:pos="1138"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the Depositary or the Paying Agent, as the case may be, shall promptly mail or deliver to each tendering Holder an amount equal to the purchase price of the Notes properly tendered by such Holder and accepted by the Issuer for purchase, and the Issuer shall promptly issue a new Note, and the Trustee, upon receipt of an Authentication Order, shall authenticate and mail or deliver (or cause to be transferred by book-entry) such new Note to such Holder (it being understood that, notwithstanding anything in this Indenture to the contrary, no Opinion of Counsel or Officer’s Certificate of the Issuer is required for the Trustee to authenticate and mail or deliver such new Note) in a principal amount equal to any unpurchased portion of the Note surrendered representing the same indebtedness to the extent not repurchased. Any Note not so accepted shall be promptly mailed or delivered by the Issuer to the Holder thereof. The Issuer shall publicly announce the results of the Asset Sale Offer on or as soon as practicable after the Purchase Date.</w:t>
      </w:r>
    </w:p>
    <w:p>
      <w:pPr>
        <w:spacing w:after="0" w:line="59" w:lineRule="exact"/>
        <w:rPr>
          <w:rFonts w:ascii="Arial" w:cs="Arial" w:eastAsia="Arial" w:hAnsi="Arial"/>
          <w:sz w:val="16"/>
          <w:szCs w:val="16"/>
          <w:color w:val="auto"/>
        </w:rPr>
      </w:pPr>
    </w:p>
    <w:p>
      <w:pPr>
        <w:ind w:right="240" w:firstLine="921"/>
        <w:spacing w:after="0" w:line="259" w:lineRule="auto"/>
        <w:tabs>
          <w:tab w:leader="none" w:pos="116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Prior to 11:00 a.m. (New York City time) on the Purchase Date, the Issuer shall deposit with the Trustee or with the Paying Agent money sufficient to pay the purchase price of and accrued and unpaid interest on all Notes to be purchased on that purchase date. The Trustee or the Paying Agent shall promptly return to the Issuer any money deposited with the Trustee or the Paying Agent by the Issuer in excess of the amounts necessary to pay the purchase price of, and accrued and unpaid interest on, all Notes to be redeemed.</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Other than as specifically provided in this Section 3.09 or Section 4.10 hereof, any purchase pursuant to this Section 3.09 shall be made pursuant to the applicable provisions of Sections 3.01 through 3.06 hereof, and references therein to “redeem,” “redemption” and similar words shall be deemed to refer to “purchase,” “repurchase” and similar words, as applicable.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Payment of Notes</w:t>
      </w:r>
      <w:r>
        <w:rPr>
          <w:rFonts w:ascii="Arial" w:cs="Arial" w:eastAsia="Arial" w:hAnsi="Arial"/>
          <w:sz w:val="17"/>
          <w:szCs w:val="17"/>
          <w:color w:val="auto"/>
        </w:rPr>
        <w:t>. The Issuer shall pay or cause to be paid the principal of, premium, if any, and interest on the Notes on the dates and in the manner provided in the Notes. Principal, premium, if any, and interest shall be considered paid on the date due if the Paying Agent, if other than the Issuer, a Guarantor or an Affiliate of the Issuer or a Guarantor, holds as of 11:00 a.m. Eastern Time on the due date money deposited by the Issuer in immediately available funds and designated for and sufficient to pay all principal, premium, if any, and interest then due.</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6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 The Issuer shall maintain the offices or agencies (which may be an office of the Trustee or an affiliate of the Trustee, Registrar or co-registrar) required under Section 2.03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93"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The Issuer may also from time to time designate one or more other offices or agencies where the Notes may be presented or surrendered for any or all such purposes and may from time to time rescind such designations; provided that no such designation or rescission shall in any manner relieve the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74" w:right="279" w:bottom="1440" w:gutter="0" w:footer="0" w:header="0"/>
        </w:sectPr>
      </w:pPr>
    </w:p>
    <w:bookmarkStart w:id="99" w:name="page100"/>
    <w:bookmarkEnd w:id="99"/>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 of its obligation to maintain such offices or agencies as required by Section 2.03 for such purposes. The Issuer shall give prompt written notice to the Trustee of any such designation or rescission and of any change in the location of any such other office or agency.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Issuer hereby designates the Corporate Trust Office of the Trustee as one such office or agency of the Issuer in accordance with Section 2.03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Reports and Other Information</w:t>
      </w:r>
      <w:r>
        <w:rPr>
          <w:rFonts w:ascii="Arial" w:cs="Arial" w:eastAsia="Arial" w:hAnsi="Arial"/>
          <w:sz w:val="18"/>
          <w:szCs w:val="18"/>
          <w:color w:val="auto"/>
        </w:rPr>
        <w:t>.</w:t>
      </w:r>
    </w:p>
    <w:p>
      <w:pPr>
        <w:spacing w:after="0" w:line="117" w:lineRule="exact"/>
        <w:rPr>
          <w:sz w:val="20"/>
          <w:szCs w:val="20"/>
          <w:color w:val="auto"/>
        </w:rPr>
      </w:pPr>
    </w:p>
    <w:p>
      <w:pPr>
        <w:jc w:val="both"/>
        <w:ind w:right="380" w:firstLine="921"/>
        <w:spacing w:after="0" w:line="279" w:lineRule="auto"/>
        <w:tabs>
          <w:tab w:leader="none" w:pos="115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Notwithstanding that Holdings III may not be subject to the reporting requirements of Section 13 or 15 (d) of the Exchange Act or that Holdings III does not otherwise report on an annual and quarterly basis on forms provided for such annual and quarterly reporting pursuant to rules and regulations promulgated by the SEC, Holdings III shall file with the SEC (and make available to the Trustee and Holders of the Notes (without exhibits), without cost to any Holder, within 15 days after it files them with the SEC) from and after the Issue Date,</w:t>
      </w:r>
    </w:p>
    <w:p>
      <w:pPr>
        <w:spacing w:after="0" w:line="63" w:lineRule="exact"/>
        <w:rPr>
          <w:rFonts w:ascii="Arial" w:cs="Arial" w:eastAsia="Arial" w:hAnsi="Arial"/>
          <w:sz w:val="17"/>
          <w:szCs w:val="17"/>
          <w:color w:val="auto"/>
        </w:rPr>
      </w:pPr>
    </w:p>
    <w:p>
      <w:pPr>
        <w:ind w:left="460" w:firstLine="443"/>
        <w:spacing w:after="0" w:line="264" w:lineRule="auto"/>
        <w:tabs>
          <w:tab w:leader="none" w:pos="11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within 90 days (or any other time period then in effect under the rules and regulations of the Exchange Act with respect to the filing of a Form 10-K by a non-accelerated filer) after the end of each fiscal year, annual reports on Form 10-K, or any successor or comparable form, containing the information required to be contained therein, or required in such successor or comparable form;</w:t>
      </w:r>
    </w:p>
    <w:p>
      <w:pPr>
        <w:spacing w:after="0" w:line="73"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within 45 days (or any other time period then in effect under the rules and regulations of the Exchange Act with respect to the filing of a Form 10-Q by a non-accelerated filer) after the end of each of the first three fiscal quarters of each fiscal year, reports on Form 10-Q containing all quarterly information that would be required to be contained in Form 10-Q, or any successor or comparable form;</w:t>
      </w:r>
    </w:p>
    <w:p>
      <w:pPr>
        <w:spacing w:after="0" w:line="73"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from time to time after the occurrence of an event required to be therein reported, such other reports on Form 8-K, or any successor or comparable form; and</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other information, documents and other reports which Holdings III would be required to file with the SEC if it were subject to Section 13 or 15(d) of the Exchange Act;</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each case, in a manner that complies in all material respects with the requirements specified in such form (assuming Holdings III were a U.S. person with only unsecured debt registered under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that Holdings III shall not be so obligated to file such reports with the SEC if the SEC does not permit such filing, in which event Holdings III will make available such information to prospective purchasers of Notes, in addition to providing such information to the Trustee and the Holders of the Notes, in each case within 15 days after the time Holdings III would be required to file such information with the SEC, if it were subject to Sections 13 or 15(d) of the Exchange Act. Delivery of such reports, information and documents to the Trustee is for informational purposes only and the Trustee’s receipt of such shall not constitute constructive notice of any information contained therein, including compliance with any of the covenants hereunder (as to which the Trustee is entitled to rely exclusively on Officer’s Certificates).</w:t>
      </w:r>
    </w:p>
    <w:p>
      <w:pPr>
        <w:spacing w:after="0" w:line="16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 addition, to the extent not satisfied by the foregoing, for so long as any Notes are outstanding, Holdings III shall furnish to Holders and to securities analysts and prospective investors, upon their request, the information required to be delivered pursuant to Rule 144A(d)(4) under the Securities Act.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100" w:name="page101"/>
    <w:bookmarkEnd w:id="100"/>
    <w:p>
      <w:pPr>
        <w:ind w:left="-20" w:right="80" w:firstLine="921"/>
        <w:spacing w:after="0" w:line="253" w:lineRule="auto"/>
        <w:tabs>
          <w:tab w:leader="none" w:pos="1148"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so long as Parent, Holdings II or any other direct or indirect parent company of Holdings III is a Guarantor, Holdings III shall be permitted to satisfy its obligations under this Section 4.03 with respect to financial information relating to Holdings III by furnishing financial information relating to Parent, Holdings II or such other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same is accompanied by consolidating information that explains in reasonable detail the differences between the information relating to Parent, Holdings II or such other parent, on the one hand, and the information relating to Holdings III and its Restricted Subsidiaries on a standalone basis, on the other hand or, at Holdings III’s option, substantially in the form required by Rule 3-10(d) of Regulation S-X or any successor thereto. Notwithstanding anything in Section 4.03(a) to the contrary, Holdings III shall be deemed to have satisfied all its obligations under Section 4.03(a) without any further action so long as (i) the Company is a Guarantor, (ii) the shares of NXP Holdings are listed on a national securities exchange and (iii) NXP Holdings complies with all of its reporting obligations applicable to it under the Exchange Act within the time periods applicable pursuant to the Exchange Act.</w:t>
      </w:r>
    </w:p>
    <w:p>
      <w:pPr>
        <w:spacing w:after="0" w:line="89" w:lineRule="exact"/>
        <w:rPr>
          <w:rFonts w:ascii="Arial" w:cs="Arial" w:eastAsia="Arial" w:hAnsi="Arial"/>
          <w:sz w:val="18"/>
          <w:szCs w:val="18"/>
          <w:color w:val="auto"/>
        </w:rPr>
      </w:pPr>
    </w:p>
    <w:p>
      <w:pPr>
        <w:ind w:left="-20" w:right="240" w:firstLine="921"/>
        <w:spacing w:after="0" w:line="308" w:lineRule="auto"/>
        <w:tabs>
          <w:tab w:leader="none" w:pos="113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Notwithstanding anything herein to the contrary, Holdings III will not be deemed to have failed to comply with any of its obligations under this Section 4.03 for purposes of clause (3) under Section 6.01 until 120 days after the date any report is due under this Section 4.03.</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117" w:lineRule="exact"/>
        <w:rPr>
          <w:sz w:val="20"/>
          <w:szCs w:val="20"/>
          <w:color w:val="auto"/>
        </w:rPr>
      </w:pPr>
    </w:p>
    <w:p>
      <w:pPr>
        <w:ind w:left="-20" w:right="20" w:firstLine="921"/>
        <w:spacing w:after="0" w:line="271" w:lineRule="auto"/>
        <w:tabs>
          <w:tab w:leader="none" w:pos="113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Company shall deliver to the Trustee, within 120 days after the end of each fiscal year ending after the Issue Date, a certificate from the principal executive officer, principal financial officer or principal accounting officer stating that a review of the activities of the Company and its Restricted Subsidiaries during the preceding fiscal year has been made under the supervision of the signing Officer with a view to determining whether the Company and its Restricted Subsidiaries have kept, observed, performed and fulfilled their obligations under this Indenture, and further stating, as to such Officer signing such certificate, that to the best of his or her knowledge the Company and its Restricted Subsidiaries have kept, observed, performed and fulfilled each and every condition and covenant contained in this Indenture and is not in default in the performance or observance of any of the terms, provisions, covenants and conditions of this Indenture (or, if a Default shall have occurred, describing all such Defaults of which he or she may have knowledge and what action the Company is taking or proposes to take with respect thereto).</w:t>
      </w:r>
    </w:p>
    <w:p>
      <w:pPr>
        <w:spacing w:after="0" w:line="70" w:lineRule="exact"/>
        <w:rPr>
          <w:rFonts w:ascii="Arial" w:cs="Arial" w:eastAsia="Arial" w:hAnsi="Arial"/>
          <w:sz w:val="17"/>
          <w:szCs w:val="17"/>
          <w:color w:val="auto"/>
        </w:rPr>
      </w:pPr>
    </w:p>
    <w:p>
      <w:pPr>
        <w:ind w:left="-20" w:firstLine="921"/>
        <w:spacing w:after="0" w:line="302" w:lineRule="auto"/>
        <w:tabs>
          <w:tab w:leader="none" w:pos="114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When any Default has occurred and is continuing under this Indenture, or if the Trustee or the holder of any other evidence of Indebtedness of the Company or any Subsidiary gives any notice or takes any other action with respect to a claimed Default, the Company shall within 30 days after the occurrence of such Default or receiving such notice deliver to the Trustee by registered or certified mail or by facsimile transmission an Officer’s Certificate specifying any event of which it is aware would constitute a Default and what action the Company proposes to take with respect thereto.</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jc w:val="both"/>
        <w:ind w:left="-20" w:right="180" w:firstLine="921"/>
        <w:spacing w:after="0" w:line="264" w:lineRule="auto"/>
        <w:tabs>
          <w:tab w:leader="none" w:pos="113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shall pay, and shall cause each of its Restricted Subsidiaries to pay, prior to delinquency, all material taxes, assessments, and governmental levies except such as are contested in good faith and by appropriate negotiations or proceedings or where the failure to effect such payment is not adverse in any material respect to the Holders of the Notes.</w:t>
      </w:r>
    </w:p>
    <w:p>
      <w:pPr>
        <w:spacing w:after="0" w:line="73" w:lineRule="exact"/>
        <w:rPr>
          <w:rFonts w:ascii="Arial" w:cs="Arial" w:eastAsia="Arial" w:hAnsi="Arial"/>
          <w:sz w:val="18"/>
          <w:szCs w:val="18"/>
          <w:color w:val="auto"/>
        </w:rPr>
      </w:pPr>
    </w:p>
    <w:p>
      <w:pPr>
        <w:ind w:left="-20" w:right="260" w:firstLine="921"/>
        <w:spacing w:after="0" w:line="264" w:lineRule="auto"/>
        <w:tabs>
          <w:tab w:leader="none" w:pos="114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payments that any Guarantor that is not organized or existing under the laws of the United States, any state thereof, the District of Columbia, or any territory thereof (each a “</w:t>
      </w:r>
      <w:r>
        <w:rPr>
          <w:rFonts w:ascii="Arial" w:cs="Arial" w:eastAsia="Arial" w:hAnsi="Arial"/>
          <w:sz w:val="18"/>
          <w:szCs w:val="18"/>
          <w:u w:val="single" w:color="auto"/>
          <w:color w:val="auto"/>
        </w:rPr>
        <w:t>Foreign Payor</w:t>
      </w:r>
      <w:r>
        <w:rPr>
          <w:rFonts w:ascii="Arial" w:cs="Arial" w:eastAsia="Arial" w:hAnsi="Arial"/>
          <w:sz w:val="18"/>
          <w:szCs w:val="18"/>
          <w:color w:val="auto"/>
        </w:rPr>
        <w:t>”) makes under or with respect to the Notes or any Guarantee, will be made free and clear of, and without withholding or deduction for or on account of, any present or future tax, duty, levy, impost,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60" w:top="274" w:right="239" w:bottom="1440" w:gutter="0" w:footer="0" w:header="0"/>
        </w:sectPr>
      </w:pPr>
    </w:p>
    <w:bookmarkStart w:id="101" w:name="page102"/>
    <w:bookmarkEnd w:id="101"/>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assessment or other governmental charges (including penalties, interest and other similar liabilities related thereto) of whatever nature (collectively, “</w:t>
      </w:r>
      <w:r>
        <w:rPr>
          <w:rFonts w:ascii="Arial" w:cs="Arial" w:eastAsia="Arial" w:hAnsi="Arial"/>
          <w:sz w:val="17"/>
          <w:szCs w:val="17"/>
          <w:u w:val="single" w:color="auto"/>
          <w:color w:val="auto"/>
        </w:rPr>
        <w:t>Taxes</w:t>
      </w:r>
      <w:r>
        <w:rPr>
          <w:rFonts w:ascii="Arial" w:cs="Arial" w:eastAsia="Arial" w:hAnsi="Arial"/>
          <w:sz w:val="17"/>
          <w:szCs w:val="17"/>
          <w:color w:val="auto"/>
        </w:rPr>
        <w:t>”) imposed or levied by or on behalf of any jurisdiction in which any Foreign Payor is incorporated, organized or otherwise resident for tax purposes or from or through which any of the foregoing makes any payment on the Notes or by any taxing authority therein or political subdivision thereof (each, as applicable, a “</w:t>
      </w:r>
      <w:r>
        <w:rPr>
          <w:rFonts w:ascii="Arial" w:cs="Arial" w:eastAsia="Arial" w:hAnsi="Arial"/>
          <w:sz w:val="17"/>
          <w:szCs w:val="17"/>
          <w:u w:val="single" w:color="auto"/>
          <w:color w:val="auto"/>
        </w:rPr>
        <w:t>Relevant Taxing Jurisdiction</w:t>
      </w:r>
      <w:r>
        <w:rPr>
          <w:rFonts w:ascii="Arial" w:cs="Arial" w:eastAsia="Arial" w:hAnsi="Arial"/>
          <w:sz w:val="17"/>
          <w:szCs w:val="17"/>
          <w:color w:val="auto"/>
        </w:rPr>
        <w:t>”), unless the applicable Foreign Payor is required to withhold or deduct Taxes by law or by the interpretation or administration of law. If a Foreign Payor is required to withhold or deduct any amount for, or on account of, Taxes of a Relevant Taxing Jurisdiction from any payment made under or with respect to the Notes or any Guarantee, such Foreign Payor will pay such additional amounts (“</w:t>
      </w:r>
      <w:r>
        <w:rPr>
          <w:rFonts w:ascii="Arial" w:cs="Arial" w:eastAsia="Arial" w:hAnsi="Arial"/>
          <w:sz w:val="17"/>
          <w:szCs w:val="17"/>
          <w:u w:val="single" w:color="auto"/>
          <w:color w:val="auto"/>
        </w:rPr>
        <w:t>Additional Amounts</w:t>
      </w:r>
      <w:r>
        <w:rPr>
          <w:rFonts w:ascii="Arial" w:cs="Arial" w:eastAsia="Arial" w:hAnsi="Arial"/>
          <w:sz w:val="17"/>
          <w:szCs w:val="17"/>
          <w:color w:val="auto"/>
        </w:rPr>
        <w:t>”) as may be necessary to ensure that the net amount received by each Holder of the Notes after such withholding or deduction will be not less than the amount such Holder would have received if such Taxes had not been required to be withheld or deducted.</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Notwithstanding the foregoing, no Foreign Payor will be required to pay Additional Amounts to a Holder of Notes in respect of or on account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03" w:lineRule="exact"/>
        <w:rPr>
          <w:sz w:val="20"/>
          <w:szCs w:val="20"/>
          <w:color w:val="auto"/>
        </w:rPr>
      </w:pPr>
    </w:p>
    <w:p>
      <w:pPr>
        <w:ind w:left="460" w:right="60" w:firstLine="443"/>
        <w:spacing w:after="0" w:line="276" w:lineRule="auto"/>
        <w:tabs>
          <w:tab w:leader="none" w:pos="115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Taxes that are imposed or levied by a Relevant Taxing Jurisdiction by reason of such Holder’s present or former connection with such Relevant Taxing Jurisdiction, including such Holder being or having been a citizen, national, or resident, being or having been engaged in a trade or business, being, or having been, physically present in or having or having had a permanent establishment in a Relevant Taxing Jurisdiction (but not including, in each case, any connection arising from the mere receipt or holding of Notes or the receipt of payments thereunder or under a Guarantee or the exercise or enforcement of rights under any Notes or this Indenture or a Guarantee);</w:t>
      </w:r>
    </w:p>
    <w:p>
      <w:pPr>
        <w:spacing w:after="0" w:line="64" w:lineRule="exact"/>
        <w:rPr>
          <w:rFonts w:ascii="Arial" w:cs="Arial" w:eastAsia="Arial" w:hAnsi="Arial"/>
          <w:sz w:val="17"/>
          <w:szCs w:val="17"/>
          <w:color w:val="auto"/>
        </w:rPr>
      </w:pPr>
    </w:p>
    <w:p>
      <w:pPr>
        <w:ind w:left="460" w:right="20" w:firstLine="443"/>
        <w:spacing w:after="0" w:line="255" w:lineRule="auto"/>
        <w:tabs>
          <w:tab w:leader="none" w:pos="115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Taxes that are imposed or levied by reason of the failure of such Holder, following the written request of any Foreign Payor (as the case may be) addressed to such Holder (and made at a time that would enable such Holder acting reasonably to comply with that request) made in accordance with the notice procedures set forth in this Indenture, to comply with any certification, identification, information or other reporting requirements, whether required by statute, treaty, regulation or administrative practice of a Relevant Taxing Jurisdiction, as a precondition to exemption from, or reduction in the rate of withholding or deduction of, Taxes imposed by the Relevant Taxing Jurisdiction (including a certification that such Holder is not resident in the Relevant Taxing Jurisdiction);</w:t>
      </w:r>
    </w:p>
    <w:p>
      <w:pPr>
        <w:spacing w:after="0" w:line="85"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Tax that is payable otherwise than by withholding or deduction from payments made under or with respect to the Notes;</w:t>
      </w:r>
    </w:p>
    <w:p>
      <w:pPr>
        <w:spacing w:after="0" w:line="117"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Tax that is imposed or levied by reason of the presentation (where presentation is required in order to receive payment) of the Notes for payment on a date more than 30 days after the date on which such payment became due and payable or the date on which payment thereof is duly provided for, whichever is later, except to the extent that the beneficial owner or holder thereof would have been entitled to Additional Amounts had the Notes been presented for payment on any date during such 30 day period;</w:t>
      </w:r>
    </w:p>
    <w:p>
      <w:pPr>
        <w:spacing w:after="0" w:line="78"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Tax except to the extent it exceeds any Tax that would have been required to be withheld from payments to the Holder if such payments were made by the Issuer;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combination of items (1) through (6) above.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102" w:name="page103"/>
    <w:bookmarkEnd w:id="102"/>
    <w:p>
      <w:pPr>
        <w:ind w:firstLine="921"/>
        <w:spacing w:after="0" w:line="257" w:lineRule="auto"/>
        <w:tabs>
          <w:tab w:leader="none" w:pos="1168"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Amounts will not be paid with respect to the Notes to a Holder who is a fiduciary, a partnership, a limited liability company or other than the sole beneficial owner of the payment under or with respect to the Notes, to the extent that payment would be required by the laws of a Relevant Taxing Jurisdiction to be included in the income, for tax purposes, of a beneficiary or settlor with respect to the fiduciary, a member of that partnership, an interest holder in that limited liability company or a beneficial owner who would not have been entitled to the Additional Amounts had it been the Holder of the Notes.</w:t>
      </w:r>
    </w:p>
    <w:p>
      <w:pPr>
        <w:spacing w:after="0" w:line="80" w:lineRule="exact"/>
        <w:rPr>
          <w:rFonts w:ascii="Arial" w:cs="Arial" w:eastAsia="Arial" w:hAnsi="Arial"/>
          <w:sz w:val="18"/>
          <w:szCs w:val="18"/>
          <w:color w:val="auto"/>
        </w:rPr>
      </w:pPr>
    </w:p>
    <w:p>
      <w:pPr>
        <w:ind w:right="500" w:firstLine="921"/>
        <w:spacing w:after="0" w:line="277" w:lineRule="auto"/>
        <w:tabs>
          <w:tab w:leader="none" w:pos="115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relevant Foreign Payor shall (i) make such withholding or deduction as is required by applicable law and (ii) remit the full amount withheld or deducted to the relevant taxing authority in accordance with applicable law.</w:t>
      </w:r>
    </w:p>
    <w:p>
      <w:pPr>
        <w:spacing w:after="0" w:line="17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At least 30 calendar days prior to each date on which any payment under or with respect to the Notes is due and payable, if the relevant Foreign Payor will be obligated to pay Additional Amounts with respect to such payment (unless such obligation to pay Additional Amounts arises after the 30th day prior to the date on which payment under or with respect to the Notes is due and payable, in which case it will be promptly thereafter), the relevant Foreign Payor will deliver to the Trustee an Officer’s Certificate of such Foreign Payor stating that such Additional Amounts will be payable and the amounts so payable and will set forth such other information necessary to enable the Trustee to pay such Additional Amounts to the applicable Holders on the payment date.</w:t>
      </w:r>
    </w:p>
    <w:p>
      <w:pPr>
        <w:spacing w:after="0" w:line="193"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relevant Foreign Payor shall promptly publish a notice in accordance with the notice provisions set forth in this Indenture stating that such Additional Amounts will be payable and describing the obligation to pay such amounts.</w:t>
      </w:r>
    </w:p>
    <w:p>
      <w:pPr>
        <w:spacing w:after="0" w:line="62" w:lineRule="exact"/>
        <w:rPr>
          <w:sz w:val="20"/>
          <w:szCs w:val="20"/>
          <w:color w:val="auto"/>
        </w:rPr>
      </w:pPr>
    </w:p>
    <w:p>
      <w:pPr>
        <w:jc w:val="both"/>
        <w:ind w:right="20" w:firstLine="921"/>
        <w:spacing w:after="0" w:line="302" w:lineRule="auto"/>
        <w:tabs>
          <w:tab w:leader="none" w:pos="113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Upon written request, the relevant Foreign Payor shall furnish to the Trustee or to a Holder of the Notes copies of tax receipts evidencing the payment of any Taxes by such Foreign Payor in such form as provided in the normal course by the taxing authority imposing such Taxes and as is reasonably available to such Foreign Payor. If, notwithstanding the efforts of such Foreign Payor to obtain such receipts, the same are not obtainable, such Foreign Payor shall provide the Trustee or the applicable Holder with other evidence reasonably satisfactory to the Trustee or such Holder.</w:t>
      </w:r>
    </w:p>
    <w:p>
      <w:pPr>
        <w:spacing w:after="0" w:line="46" w:lineRule="exact"/>
        <w:rPr>
          <w:rFonts w:ascii="Arial" w:cs="Arial" w:eastAsia="Arial" w:hAnsi="Arial"/>
          <w:sz w:val="16"/>
          <w:szCs w:val="16"/>
          <w:color w:val="auto"/>
        </w:rPr>
      </w:pPr>
    </w:p>
    <w:p>
      <w:pPr>
        <w:ind w:right="40" w:firstLine="921"/>
        <w:spacing w:after="0" w:line="279" w:lineRule="auto"/>
        <w:tabs>
          <w:tab w:leader="none" w:pos="116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Issuer and any Guarantor, as the case may be, will pay any present or future stamp, issue, registration, court, documentation, excise or property taxes or other similar taxes, charges and duties, including interest and penalties with respect thereto, imposed by or in any Relevant Taxing Jurisdiction in respect of the execution, issue, enforcement or delivery of the Notes or any other document or instrument referred to thereunder (other than on or in connection with a transfer of the Notes other than the initial resale by the Initial Purchasers).</w:t>
      </w:r>
    </w:p>
    <w:p>
      <w:pPr>
        <w:spacing w:after="0" w:line="63" w:lineRule="exact"/>
        <w:rPr>
          <w:rFonts w:ascii="Arial" w:cs="Arial" w:eastAsia="Arial" w:hAnsi="Arial"/>
          <w:sz w:val="17"/>
          <w:szCs w:val="17"/>
          <w:color w:val="auto"/>
        </w:rPr>
      </w:pPr>
    </w:p>
    <w:p>
      <w:pPr>
        <w:jc w:val="both"/>
        <w:ind w:right="520" w:firstLine="921"/>
        <w:spacing w:after="0" w:line="342" w:lineRule="auto"/>
        <w:tabs>
          <w:tab w:leader="none" w:pos="116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Whenever this Indenture or the Notes refers to, in any context, the payment of principal, premium, if any, interest or any other amount payable under or with respect to any Note or with respect to any Guarantee, such reference includes the payment of Additional Amounts, if applicable.</w:t>
      </w:r>
    </w:p>
    <w:p>
      <w:pPr>
        <w:spacing w:after="0" w:line="124"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 The Issuer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74" w:right="279" w:bottom="1440" w:gutter="0" w:footer="0" w:header="0"/>
        </w:sectPr>
      </w:pPr>
    </w:p>
    <w:bookmarkStart w:id="103" w:name="page104"/>
    <w:bookmarkEnd w:id="10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4.07.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shall not, and shall not permit any of its Restricted Subsidiaries to, directly or indirectly:</w:t>
      </w:r>
    </w:p>
    <w:p>
      <w:pPr>
        <w:spacing w:after="0" w:line="117" w:lineRule="exact"/>
        <w:rPr>
          <w:rFonts w:ascii="Arial" w:cs="Arial" w:eastAsia="Arial" w:hAnsi="Arial"/>
          <w:sz w:val="18"/>
          <w:szCs w:val="18"/>
          <w:color w:val="auto"/>
        </w:rPr>
      </w:pPr>
    </w:p>
    <w:p>
      <w:pPr>
        <w:ind w:left="460" w:right="300" w:firstLine="881"/>
        <w:spacing w:after="0" w:line="342" w:lineRule="auto"/>
        <w:tabs>
          <w:tab w:leader="none" w:pos="1561" w:val="left"/>
        </w:tabs>
        <w:numPr>
          <w:ilvl w:val="1"/>
          <w:numId w:val="148"/>
        </w:numPr>
        <w:rPr>
          <w:rFonts w:ascii="Arial" w:cs="Arial" w:eastAsia="Arial" w:hAnsi="Arial"/>
          <w:sz w:val="16"/>
          <w:szCs w:val="16"/>
          <w:color w:val="auto"/>
        </w:rPr>
      </w:pPr>
      <w:r>
        <w:rPr>
          <w:rFonts w:ascii="Arial" w:cs="Arial" w:eastAsia="Arial" w:hAnsi="Arial"/>
          <w:sz w:val="16"/>
          <w:szCs w:val="16"/>
          <w:color w:val="auto"/>
        </w:rPr>
        <w:t>declare or pay any dividend or make any payment or distribution on account of the Company’s, or any of its Restricted Subsidiaries’ Equity Interests, including any dividend or distribution payable in connection with any merger, amalgamation or consolidation other than:</w:t>
      </w:r>
    </w:p>
    <w:p>
      <w:pPr>
        <w:spacing w:after="0" w:line="16" w:lineRule="exact"/>
        <w:rPr>
          <w:sz w:val="20"/>
          <w:szCs w:val="20"/>
          <w:color w:val="auto"/>
        </w:rPr>
      </w:pPr>
    </w:p>
    <w:p>
      <w:pPr>
        <w:ind w:left="1640" w:hanging="299"/>
        <w:spacing w:after="0"/>
        <w:tabs>
          <w:tab w:leader="none" w:pos="16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dividends or distributions by the Company payable solely in Equity Interests (other than Disqualified Stock) of the Company; or</w:t>
      </w:r>
    </w:p>
    <w:p>
      <w:pPr>
        <w:spacing w:after="0" w:line="128" w:lineRule="exact"/>
        <w:rPr>
          <w:rFonts w:ascii="Arial" w:cs="Arial" w:eastAsia="Arial" w:hAnsi="Arial"/>
          <w:sz w:val="17"/>
          <w:szCs w:val="17"/>
          <w:color w:val="auto"/>
        </w:rPr>
      </w:pPr>
    </w:p>
    <w:p>
      <w:pPr>
        <w:ind w:left="920" w:firstLine="421"/>
        <w:spacing w:after="0" w:line="312" w:lineRule="auto"/>
        <w:tabs>
          <w:tab w:leader="none" w:pos="162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dividends or distributions by a Restricted Subsidiary so long as, in the case of any dividend or distribution payable on or in respect of any class or series of securities issued by a Restricted Subsidiary other than a Wholly-Owned Subsidiary, the Company or a Restricted Subsidiary receives at least its pro rata share of such dividend or distribution in accordance with its Equity Interests in such class or series of securities;</w:t>
      </w:r>
    </w:p>
    <w:p>
      <w:pPr>
        <w:spacing w:after="0" w:line="39" w:lineRule="exact"/>
        <w:rPr>
          <w:sz w:val="20"/>
          <w:szCs w:val="20"/>
          <w:color w:val="auto"/>
        </w:rPr>
      </w:pPr>
    </w:p>
    <w:p>
      <w:pPr>
        <w:ind w:left="460" w:right="140" w:firstLine="881"/>
        <w:spacing w:after="0" w:line="277" w:lineRule="auto"/>
        <w:tabs>
          <w:tab w:leader="none" w:pos="162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purchase, redeem, defease or otherwise acquire or retire for value any Equity Interests of the Company or any direct or indirect parent of the Company, including in connection with any merger, amalgamation or consolidation;</w:t>
      </w:r>
    </w:p>
    <w:p>
      <w:pPr>
        <w:spacing w:after="0" w:line="62" w:lineRule="exact"/>
        <w:rPr>
          <w:sz w:val="20"/>
          <w:szCs w:val="20"/>
          <w:color w:val="auto"/>
        </w:rPr>
      </w:pPr>
    </w:p>
    <w:p>
      <w:pPr>
        <w:ind w:left="460" w:right="460" w:firstLine="881"/>
        <w:spacing w:after="0" w:line="277" w:lineRule="auto"/>
        <w:tabs>
          <w:tab w:leader="none" w:pos="168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make any principal payment on, or redeem, repurchase, defease or otherwise acquire or retire for value in each case, prior to any scheduled repayment, sinking fund payment or maturity, any Subordinated Indebtedness, other than:</w:t>
      </w:r>
    </w:p>
    <w:p>
      <w:pPr>
        <w:spacing w:after="0" w:line="62" w:lineRule="exact"/>
        <w:rPr>
          <w:sz w:val="20"/>
          <w:szCs w:val="20"/>
          <w:color w:val="auto"/>
        </w:rPr>
      </w:pPr>
    </w:p>
    <w:p>
      <w:pPr>
        <w:ind w:left="1640" w:hanging="299"/>
        <w:spacing w:after="0"/>
        <w:tabs>
          <w:tab w:leader="none" w:pos="1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Indebtedness permitted under clauses (7) and (8) of Section 4.09(b) hereof; or</w:t>
      </w:r>
    </w:p>
    <w:p>
      <w:pPr>
        <w:spacing w:after="0" w:line="117" w:lineRule="exact"/>
        <w:rPr>
          <w:rFonts w:ascii="Arial" w:cs="Arial" w:eastAsia="Arial" w:hAnsi="Arial"/>
          <w:sz w:val="18"/>
          <w:szCs w:val="18"/>
          <w:color w:val="auto"/>
        </w:rPr>
      </w:pPr>
    </w:p>
    <w:p>
      <w:pPr>
        <w:ind w:left="920" w:right="500" w:firstLine="421"/>
        <w:spacing w:after="0" w:line="342" w:lineRule="auto"/>
        <w:tabs>
          <w:tab w:leader="none" w:pos="162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purchase, repurchase or other acquisition of Subordinated Indebtedness purchased in anticipation of satisfying a sinking fund obligation, principal installment or final maturity, in each case due within one year of the date of purchase, repurchase or acquisition; or</w:t>
      </w:r>
    </w:p>
    <w:p>
      <w:pPr>
        <w:spacing w:after="0" w:line="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(IV) make any Restricted Investment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such payments and other actions set forth in clauses (I) through (IV) above being collectively referred to as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unless, at the time of such Restricted Payment:</w:t>
      </w:r>
    </w:p>
    <w:p>
      <w:pPr>
        <w:spacing w:after="0" w:line="62" w:lineRule="exact"/>
        <w:rPr>
          <w:sz w:val="20"/>
          <w:szCs w:val="20"/>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occur as a consequence thereof;</w:t>
      </w:r>
    </w:p>
    <w:p>
      <w:pPr>
        <w:spacing w:after="0" w:line="117"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such transaction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the Company could incur $1.00 of additional Indebtedness pursuant to the Fixed Charge Coverage Test set forth in Section 4.09(a) hereof; and</w:t>
      </w:r>
    </w:p>
    <w:p>
      <w:pPr>
        <w:spacing w:after="0" w:line="62" w:lineRule="exact"/>
        <w:rPr>
          <w:rFonts w:ascii="Arial" w:cs="Arial" w:eastAsia="Arial" w:hAnsi="Arial"/>
          <w:sz w:val="18"/>
          <w:szCs w:val="18"/>
          <w:color w:val="auto"/>
        </w:rPr>
      </w:pPr>
    </w:p>
    <w:p>
      <w:pPr>
        <w:ind w:left="460" w:right="120" w:firstLine="443"/>
        <w:spacing w:after="0" w:line="259" w:lineRule="auto"/>
        <w:tabs>
          <w:tab w:leader="none" w:pos="115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after the NXP Measurement Date (including Restricted Payments permitted by clauses (1), (2) (with respect to the payment of dividends on Refunding Capital Stock pursuant to clause (b) thereof only), (6)(c) and (14) of Section 4.07(b) hereof, but excluding all other Restricted Payments permitted by Section 4.07(b) hereof), is less than the sum of (without duplication):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104" w:name="page105"/>
    <w:bookmarkEnd w:id="104"/>
    <w:p>
      <w:pPr>
        <w:ind w:right="160" w:firstLine="421"/>
        <w:spacing w:after="0" w:line="259" w:lineRule="auto"/>
        <w:tabs>
          <w:tab w:leader="none" w:pos="715"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50% of the Consolidated Net Income of the Company for the period (taken as one accounting period and including the predecessor) beginning on the NXP Measurement Date, to the end of the Company’s recently ended fiscal quarter for which internal financial statements are available at the time of such Restricted Payment, or, in the case such Consolidated Net Income for such period is a deficit, minus 100% of such deficit;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ind w:right="80" w:firstLine="421"/>
        <w:spacing w:after="0" w:line="312" w:lineRule="auto"/>
        <w:tabs>
          <w:tab w:leader="none" w:pos="70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100% of the aggregate net cash proceeds and the fair market value of marketable securities or other property received by the Company since immediately after the NXP Measurement Date (other than net cash proceeds to the extent such net cash proceeds have been used to incur Indebtedness, Disqualified Stock or Preferred Stock pursuant to clause (12)(a) of Section 4.09(b) hereof) from the issue or sale of:</w:t>
      </w:r>
    </w:p>
    <w:p>
      <w:pPr>
        <w:spacing w:after="0" w:line="38" w:lineRule="exact"/>
        <w:rPr>
          <w:rFonts w:ascii="Arial" w:cs="Arial" w:eastAsia="Arial" w:hAnsi="Arial"/>
          <w:sz w:val="16"/>
          <w:szCs w:val="16"/>
          <w:color w:val="auto"/>
        </w:rPr>
      </w:pPr>
    </w:p>
    <w:p>
      <w:pPr>
        <w:ind w:left="580" w:right="40" w:firstLine="389"/>
        <w:spacing w:after="0" w:line="277" w:lineRule="auto"/>
        <w:tabs>
          <w:tab w:leader="none" w:pos="119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Equity Interests of the Company, including Treasury Capital Stock, but excluding cash proceeds and the fair market value of marketable securities or other property received from the sale of:</w:t>
      </w:r>
    </w:p>
    <w:p>
      <w:pPr>
        <w:spacing w:after="0" w:line="62" w:lineRule="exact"/>
        <w:rPr>
          <w:rFonts w:ascii="Arial" w:cs="Arial" w:eastAsia="Arial" w:hAnsi="Arial"/>
          <w:sz w:val="18"/>
          <w:szCs w:val="18"/>
          <w:color w:val="auto"/>
        </w:rPr>
      </w:pPr>
    </w:p>
    <w:p>
      <w:pPr>
        <w:ind w:left="1020" w:right="40" w:firstLine="387"/>
        <w:spacing w:after="0" w:line="286" w:lineRule="auto"/>
        <w:tabs>
          <w:tab w:leader="none" w:pos="1654" w:val="left"/>
        </w:tabs>
        <w:numPr>
          <w:ilvl w:val="2"/>
          <w:numId w:val="154"/>
        </w:numPr>
        <w:rPr>
          <w:rFonts w:ascii="Arial" w:cs="Arial" w:eastAsia="Arial" w:hAnsi="Arial"/>
          <w:sz w:val="17"/>
          <w:szCs w:val="17"/>
          <w:color w:val="auto"/>
        </w:rPr>
      </w:pPr>
      <w:r>
        <w:rPr>
          <w:rFonts w:ascii="Arial" w:cs="Arial" w:eastAsia="Arial" w:hAnsi="Arial"/>
          <w:sz w:val="17"/>
          <w:szCs w:val="17"/>
          <w:color w:val="auto"/>
        </w:rPr>
        <w:t>Equity Interests to members of management, directors or consultants of the Company, any direct or indirect parent company of the Company and the Company’s Subsidiaries after the NXP Measurement Date to the extent such amounts have been applied to Restricted Payments made in accordance with clause (4) of Section 4.07(b) hereof; and</w:t>
      </w:r>
    </w:p>
    <w:p>
      <w:pPr>
        <w:spacing w:after="0" w:line="57" w:lineRule="exact"/>
        <w:rPr>
          <w:rFonts w:ascii="Arial" w:cs="Arial" w:eastAsia="Arial" w:hAnsi="Arial"/>
          <w:sz w:val="17"/>
          <w:szCs w:val="17"/>
          <w:color w:val="auto"/>
        </w:rPr>
      </w:pPr>
    </w:p>
    <w:p>
      <w:pPr>
        <w:ind w:left="1660" w:hanging="253"/>
        <w:spacing w:after="0"/>
        <w:tabs>
          <w:tab w:leader="none" w:pos="166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Designated Preferred Stock;</w:t>
      </w:r>
    </w:p>
    <w:p>
      <w:pPr>
        <w:spacing w:after="0" w:line="117" w:lineRule="exact"/>
        <w:rPr>
          <w:sz w:val="20"/>
          <w:szCs w:val="20"/>
          <w:color w:val="auto"/>
        </w:rPr>
      </w:pPr>
    </w:p>
    <w:p>
      <w:pPr>
        <w:ind w:left="1020" w:right="60"/>
        <w:spacing w:after="0" w:line="259" w:lineRule="auto"/>
        <w:rPr>
          <w:sz w:val="20"/>
          <w:szCs w:val="20"/>
          <w:color w:val="auto"/>
        </w:rPr>
      </w:pPr>
      <w:r>
        <w:rPr>
          <w:rFonts w:ascii="Arial" w:cs="Arial" w:eastAsia="Arial" w:hAnsi="Arial"/>
          <w:sz w:val="18"/>
          <w:szCs w:val="18"/>
          <w:color w:val="auto"/>
        </w:rPr>
        <w:t>and (B) to the extent such net cash proceeds are actually contributed to the Company, Equity Interests of the Company’s direct or indirect parent companies (excluding contributions of the proceeds from the sale of Designated Preferred Stock of such companies or contributions to the extent such amounts have been applied to Restricted Payments made in accordance with clause (4) of Section 4.07(b) hereof; or</w:t>
      </w:r>
    </w:p>
    <w:p>
      <w:pPr>
        <w:spacing w:after="0" w:line="7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(ii) debt securities of the Company that have been converted into or exchanged for such Equity Interests of the Company;</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(B) shall not include the proceeds from (W) Refunding Capital Stock, (X) Equity Interests or convertible debt securities of the Company sold to a Restricted Subsidiary, (Y) Disqualified Stock or debt securities that have been converted into Disqualified Stock or</w:t>
      </w:r>
    </w:p>
    <w:p>
      <w:pPr>
        <w:ind w:left="280" w:hanging="279"/>
        <w:spacing w:after="0"/>
        <w:tabs>
          <w:tab w:leader="none" w:pos="2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Excluded Contributions; </w:t>
      </w:r>
      <w:r>
        <w:rPr>
          <w:rFonts w:ascii="Arial" w:cs="Arial" w:eastAsia="Arial" w:hAnsi="Arial"/>
          <w:sz w:val="18"/>
          <w:szCs w:val="18"/>
          <w:u w:val="single" w:color="auto"/>
          <w:color w:val="auto"/>
        </w:rPr>
        <w:t>plus</w:t>
      </w:r>
    </w:p>
    <w:p>
      <w:pPr>
        <w:spacing w:after="0" w:line="102" w:lineRule="exact"/>
        <w:rPr>
          <w:rFonts w:ascii="Arial" w:cs="Arial" w:eastAsia="Arial" w:hAnsi="Arial"/>
          <w:sz w:val="18"/>
          <w:szCs w:val="18"/>
          <w:color w:val="auto"/>
        </w:rPr>
      </w:pPr>
    </w:p>
    <w:p>
      <w:pPr>
        <w:jc w:val="both"/>
        <w:ind w:left="580" w:right="180" w:firstLine="389"/>
        <w:spacing w:after="0" w:line="279" w:lineRule="auto"/>
        <w:tabs>
          <w:tab w:leader="none" w:pos="1262" w:val="left"/>
        </w:tabs>
        <w:numPr>
          <w:ilvl w:val="1"/>
          <w:numId w:val="155"/>
        </w:numPr>
        <w:rPr>
          <w:rFonts w:ascii="Arial" w:cs="Arial" w:eastAsia="Arial" w:hAnsi="Arial"/>
          <w:sz w:val="17"/>
          <w:szCs w:val="17"/>
          <w:color w:val="auto"/>
        </w:rPr>
      </w:pPr>
      <w:r>
        <w:rPr>
          <w:rFonts w:ascii="Arial" w:cs="Arial" w:eastAsia="Arial" w:hAnsi="Arial"/>
          <w:sz w:val="17"/>
          <w:szCs w:val="17"/>
          <w:color w:val="auto"/>
        </w:rPr>
        <w:t>100% of the aggregate amount of cash and the fair market value of marketable securities or other property contributed to the capital of the Company following the NXP Measurement Date (other than net cash proceeds to the extent such net cash proceeds have been used to incur Indebtedness, Disqualified Stock or Preferred Stock pursuant to clause (12)(a) of Section 4.09(b) hereof) (other than by a Restricted Subsidiary and other than by any Excluded Contributions); plus</w:t>
      </w:r>
    </w:p>
    <w:p>
      <w:pPr>
        <w:spacing w:after="0" w:line="10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480"/>
          </w:cols>
          <w:pgMar w:left="1160" w:top="274" w:right="259" w:bottom="1440" w:gutter="0" w:footer="0" w:header="0"/>
        </w:sectPr>
      </w:pPr>
    </w:p>
    <w:bookmarkStart w:id="105" w:name="page106"/>
    <w:bookmarkEnd w:id="105"/>
    <w:p>
      <w:pPr>
        <w:ind w:left="1500" w:right="60" w:firstLine="389"/>
        <w:spacing w:after="0" w:line="277" w:lineRule="auto"/>
        <w:tabs>
          <w:tab w:leader="none" w:pos="2192"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100% of the aggregate amount received in cash and the fair market value of marketable securities or other property received by means of:</w:t>
      </w:r>
    </w:p>
    <w:p>
      <w:pPr>
        <w:spacing w:after="0" w:line="62" w:lineRule="exact"/>
        <w:rPr>
          <w:rFonts w:ascii="Arial" w:cs="Arial" w:eastAsia="Arial" w:hAnsi="Arial"/>
          <w:sz w:val="18"/>
          <w:szCs w:val="18"/>
          <w:color w:val="auto"/>
        </w:rPr>
      </w:pPr>
    </w:p>
    <w:p>
      <w:pPr>
        <w:ind w:left="1940" w:right="60" w:firstLine="387"/>
        <w:spacing w:after="0" w:line="279" w:lineRule="auto"/>
        <w:tabs>
          <w:tab w:leader="none" w:pos="2534"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the sale or other disposition (other than to the Company or a Restricted Subsidiary) of Restricted Investments made by the Company or its Restricted Subsidiaries and repurchases and redemptions of such Restricted Investments from the Company or its Restricted Subsidiaries and repayments of loans or advances, and releases of guarantees, which constitute Restricted Investments by the Company or its Restricted Subsidiaries, in each case after the NXP Measurement Date; or</w:t>
      </w:r>
    </w:p>
    <w:p>
      <w:pPr>
        <w:spacing w:after="0" w:line="63" w:lineRule="exact"/>
        <w:rPr>
          <w:rFonts w:ascii="Arial" w:cs="Arial" w:eastAsia="Arial" w:hAnsi="Arial"/>
          <w:sz w:val="17"/>
          <w:szCs w:val="17"/>
          <w:color w:val="auto"/>
        </w:rPr>
      </w:pPr>
    </w:p>
    <w:p>
      <w:pPr>
        <w:ind w:left="1940" w:right="40" w:firstLine="387"/>
        <w:spacing w:after="0" w:line="302" w:lineRule="auto"/>
        <w:tabs>
          <w:tab w:leader="none" w:pos="258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the sale (other than to the Company or a Restricted Subsidiary) of the stock of an Unrestricted Subsidiary or a distribution from an Unrestricted Subsidiary (other than in each case to the extent the Investment in such Unrestricted Subsidiary was made by the Company or a Restricted Subsidiary pursuant to clause (7) of Section 4.07(b) hereof or to the extent such Investment constituted a Permitted Investment) or a dividend from an Unrestricted Subsidiary after the NXP Measurement Date; </w:t>
      </w:r>
      <w:r>
        <w:rPr>
          <w:rFonts w:ascii="Arial" w:cs="Arial" w:eastAsia="Arial" w:hAnsi="Arial"/>
          <w:sz w:val="16"/>
          <w:szCs w:val="16"/>
          <w:u w:val="single" w:color="auto"/>
          <w:color w:val="auto"/>
        </w:rPr>
        <w:t>plus</w:t>
      </w:r>
    </w:p>
    <w:p>
      <w:pPr>
        <w:spacing w:after="0" w:line="46" w:lineRule="exact"/>
        <w:rPr>
          <w:rFonts w:ascii="Arial" w:cs="Arial" w:eastAsia="Arial" w:hAnsi="Arial"/>
          <w:sz w:val="16"/>
          <w:szCs w:val="16"/>
          <w:color w:val="auto"/>
        </w:rPr>
      </w:pPr>
    </w:p>
    <w:p>
      <w:pPr>
        <w:ind w:left="1500" w:right="140" w:firstLine="389"/>
        <w:spacing w:after="0" w:line="255" w:lineRule="auto"/>
        <w:tabs>
          <w:tab w:leader="none" w:pos="217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case of the redesignation of an Unrestricted Subsidiary as a Restricted Subsidiary after the NXP Measurement Date, the fair market value of the Investment in such Unrestricted Subsidiary (which, if the fair market value of such Investment shall exceed $100.0 million, shall be set forth in writing by an Independent Financial Advisor), at the time of the redesignation of such Unrestricted Subsidiary as a Restricted Subsidiary other than an Unrestricted Subsidiary to the extent the Investment in such Unrestricted Subsidiary was made by the Company or a Restricted Subsidiary pursuant to clause (7) of Section 4.07(b) hereof or to the extent such Investment constituted a Permitted Investment;</w:t>
      </w:r>
    </w:p>
    <w:p>
      <w:pPr>
        <w:spacing w:after="0" w:line="19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anything to the contrary provided in this Section 4.07(a)(3), such sum shall equal $1,780 million as of the Merger Date, with no further adjustments for financial results or actions occurring on or prior to the Merger Date.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The foregoing provisions of Section 4.07(a) hereof will not prohibit:</w:t>
      </w:r>
    </w:p>
    <w:p>
      <w:pPr>
        <w:spacing w:after="0" w:line="117" w:lineRule="exact"/>
        <w:rPr>
          <w:sz w:val="20"/>
          <w:szCs w:val="20"/>
          <w:color w:val="auto"/>
        </w:rPr>
      </w:pPr>
    </w:p>
    <w:p>
      <w:pPr>
        <w:ind w:left="460" w:right="560" w:firstLine="443"/>
        <w:spacing w:after="0" w:line="277" w:lineRule="auto"/>
        <w:tabs>
          <w:tab w:leader="none" w:pos="115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payment of any dividend within 60 days after the date of declaration thereof, if at the date of declaration such payment would have complied with the provisions of this Indenture;</w:t>
      </w:r>
    </w:p>
    <w:p>
      <w:pPr>
        <w:spacing w:after="0" w:line="62" w:lineRule="exact"/>
        <w:rPr>
          <w:rFonts w:ascii="Arial" w:cs="Arial" w:eastAsia="Arial" w:hAnsi="Arial"/>
          <w:sz w:val="18"/>
          <w:szCs w:val="18"/>
          <w:color w:val="auto"/>
        </w:rPr>
      </w:pPr>
    </w:p>
    <w:p>
      <w:pPr>
        <w:ind w:left="460" w:right="60" w:firstLine="443"/>
        <w:spacing w:after="0" w:line="270" w:lineRule="auto"/>
        <w:tabs>
          <w:tab w:leader="none" w:pos="115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 the redemption, repurchase, retirement or other acquisition of any Equity Interests (“</w:t>
      </w:r>
      <w:r>
        <w:rPr>
          <w:rFonts w:ascii="Arial" w:cs="Arial" w:eastAsia="Arial" w:hAnsi="Arial"/>
          <w:sz w:val="17"/>
          <w:szCs w:val="17"/>
          <w:u w:val="single" w:color="auto"/>
          <w:color w:val="auto"/>
        </w:rPr>
        <w:t>Treasury Capital Stock</w:t>
      </w:r>
      <w:r>
        <w:rPr>
          <w:rFonts w:ascii="Arial" w:cs="Arial" w:eastAsia="Arial" w:hAnsi="Arial"/>
          <w:sz w:val="17"/>
          <w:szCs w:val="17"/>
          <w:color w:val="auto"/>
        </w:rPr>
        <w:t>”) or Subordinated Indebtedness of the Company or any Equity Interests of any direct or indirect parent company of the Company, in exchange for, or out of the proceeds of the substantially concurrent sale (other than to a Restricted Subsidiary) of, Equity Interests of the Company or any direct or indirect parent company of the Company to the extent contributed to the Company (in each case, other than any Disqualified Stock) (“</w:t>
      </w:r>
      <w:r>
        <w:rPr>
          <w:rFonts w:ascii="Arial" w:cs="Arial" w:eastAsia="Arial" w:hAnsi="Arial"/>
          <w:sz w:val="17"/>
          <w:szCs w:val="17"/>
          <w:u w:val="single" w:color="auto"/>
          <w:color w:val="auto"/>
        </w:rPr>
        <w:t>Refunding Capital Stock</w:t>
      </w:r>
      <w:r>
        <w:rPr>
          <w:rFonts w:ascii="Arial" w:cs="Arial" w:eastAsia="Arial" w:hAnsi="Arial"/>
          <w:sz w:val="17"/>
          <w:szCs w:val="17"/>
          <w:color w:val="auto"/>
        </w:rPr>
        <w:t>”) and (b) if immediately prior to the retirement of Treasury Capital Stock, the declaration and payment of dividends thereon was permitted under clause (6) of this Section 4.07(b), the declaration and payment of dividends on the Refunding Capital Stock (other than Refunding Capital Stock the proceeds of which were used to redeem, repurchase, retire or otherwise acquire any Equity Interests of any direct or indirect parent company of the Company) in an aggregate amount per year no greater than the aggregate amount of dividends per annum that were declarable and payable on such Treasury Capital Stock immediately prior to such retirement;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106" w:name="page107"/>
    <w:bookmarkEnd w:id="106"/>
    <w:p>
      <w:pPr>
        <w:jc w:val="both"/>
        <w:ind w:right="240" w:firstLine="443"/>
        <w:spacing w:after="0" w:line="259" w:lineRule="auto"/>
        <w:tabs>
          <w:tab w:leader="none" w:pos="693" w:val="left"/>
        </w:tabs>
        <w:numPr>
          <w:ilvl w:val="1"/>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defeasance, redemption, repurchase or other acquisition or retirement of Subordinated Indebtedness of the Company, the Issuer or a Subsidiary Guarantor made (i) with Excluded Proceeds or (ii) by exchange for, or out of the proceeds of the substantially concurrent sale of, new Indebtedness of the Company, the Issuer or a Subsidiary Guarantor, as the case may be, which is incurred in compliance with Section 4.09 hereof so long as, in the case of clause (ii):</w:t>
      </w:r>
    </w:p>
    <w:p>
      <w:pPr>
        <w:spacing w:after="0" w:line="78" w:lineRule="exact"/>
        <w:rPr>
          <w:rFonts w:ascii="Arial" w:cs="Arial" w:eastAsia="Arial" w:hAnsi="Arial"/>
          <w:sz w:val="18"/>
          <w:szCs w:val="18"/>
          <w:color w:val="auto"/>
        </w:rPr>
      </w:pPr>
    </w:p>
    <w:p>
      <w:pPr>
        <w:ind w:left="460" w:right="60" w:firstLine="421"/>
        <w:spacing w:after="0" w:line="302" w:lineRule="auto"/>
        <w:tabs>
          <w:tab w:leader="none" w:pos="1175" w:val="left"/>
        </w:tabs>
        <w:numPr>
          <w:ilvl w:val="2"/>
          <w:numId w:val="158"/>
        </w:numPr>
        <w:rPr>
          <w:rFonts w:ascii="Arial" w:cs="Arial" w:eastAsia="Arial" w:hAnsi="Arial"/>
          <w:sz w:val="16"/>
          <w:szCs w:val="16"/>
          <w:color w:val="auto"/>
        </w:rPr>
      </w:pPr>
      <w:r>
        <w:rPr>
          <w:rFonts w:ascii="Arial" w:cs="Arial" w:eastAsia="Arial" w:hAnsi="Arial"/>
          <w:sz w:val="16"/>
          <w:szCs w:val="16"/>
          <w:color w:val="auto"/>
        </w:rPr>
        <w:t>the principal amount of such new Indebtedness does not exceed the principal amount of (or accreted value, if applicable), plus any accrued and unpaid interest on, the Subordinated Indebtedness being so redeemed, repurchased, acquired or retired for value, plus the amount of any reasonable premium required to be paid under the terms of the instrument governing the Subordinated Indebtedness being so redeemed, repurchased, acquired or retired and any reasonable fees and expenses incurred in connection with the issuance of such new Indebtedness;</w:t>
      </w:r>
    </w:p>
    <w:p>
      <w:pPr>
        <w:spacing w:after="0" w:line="46" w:lineRule="exact"/>
        <w:rPr>
          <w:rFonts w:ascii="Arial" w:cs="Arial" w:eastAsia="Arial" w:hAnsi="Arial"/>
          <w:sz w:val="16"/>
          <w:szCs w:val="16"/>
          <w:color w:val="auto"/>
        </w:rPr>
      </w:pPr>
    </w:p>
    <w:p>
      <w:pPr>
        <w:ind w:left="460" w:right="540" w:firstLine="421"/>
        <w:spacing w:after="0" w:line="277" w:lineRule="auto"/>
        <w:tabs>
          <w:tab w:leader="none" w:pos="1165"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such new Indebtedness is subordinated to the Notes or the applicable Guarantee at least to the same extent as such Subordinated Indebtedness so purchased, exchanged, redeemed, repurchased, acquired or retired for value;</w:t>
      </w:r>
    </w:p>
    <w:p>
      <w:pPr>
        <w:spacing w:after="0" w:line="62" w:lineRule="exact"/>
        <w:rPr>
          <w:rFonts w:ascii="Arial" w:cs="Arial" w:eastAsia="Arial" w:hAnsi="Arial"/>
          <w:sz w:val="18"/>
          <w:szCs w:val="18"/>
          <w:color w:val="auto"/>
        </w:rPr>
      </w:pPr>
    </w:p>
    <w:p>
      <w:pPr>
        <w:ind w:left="460" w:right="140" w:firstLine="421"/>
        <w:spacing w:after="0" w:line="277" w:lineRule="auto"/>
        <w:tabs>
          <w:tab w:leader="none" w:pos="1165"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such new Indebtedness has a final scheduled maturity date equal to or later than the final scheduled maturity date of the Subordinated Indebtedness being so redeemed, repurchased, acquired or retired; and</w:t>
      </w:r>
    </w:p>
    <w:p>
      <w:pPr>
        <w:spacing w:after="0" w:line="62" w:lineRule="exact"/>
        <w:rPr>
          <w:rFonts w:ascii="Arial" w:cs="Arial" w:eastAsia="Arial" w:hAnsi="Arial"/>
          <w:sz w:val="18"/>
          <w:szCs w:val="18"/>
          <w:color w:val="auto"/>
        </w:rPr>
      </w:pPr>
    </w:p>
    <w:p>
      <w:pPr>
        <w:ind w:left="460" w:right="440" w:firstLine="421"/>
        <w:spacing w:after="0" w:line="277" w:lineRule="auto"/>
        <w:tabs>
          <w:tab w:leader="none" w:pos="1175"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such new Indebtedness has a Weighted Average Life to Maturity equal to or greater than the remaining Weighted Average Life to Maturity of the Subordinated Indebtedness being so redeemed, repurchased, acquired or retired;</w:t>
      </w:r>
    </w:p>
    <w:p>
      <w:pPr>
        <w:spacing w:after="0" w:line="62" w:lineRule="exact"/>
        <w:rPr>
          <w:rFonts w:ascii="Arial" w:cs="Arial" w:eastAsia="Arial" w:hAnsi="Arial"/>
          <w:sz w:val="18"/>
          <w:szCs w:val="18"/>
          <w:color w:val="auto"/>
        </w:rPr>
      </w:pPr>
    </w:p>
    <w:p>
      <w:pPr>
        <w:ind w:right="80" w:firstLine="443"/>
        <w:spacing w:after="0" w:line="286" w:lineRule="auto"/>
        <w:tabs>
          <w:tab w:leader="none" w:pos="693"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a Restricted Payment to pay for the repurchase, retirement or other acquisition or retirement for value of Equity Interests (other than Disqualified Stock) of the Company or any of its direct or indirect parent companies held by any future, present or former employee, director or consultant of the Company, any of its Subsidiaries or any of its direct or indirect parent companies pursuant to any management equity plan or stock option plan or any other management or employee benefit plan 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aggregate Restricted Payments made under this clause</w:t>
      </w:r>
    </w:p>
    <w:p>
      <w:pPr>
        <w:spacing w:after="0" w:line="1" w:lineRule="exact"/>
        <w:rPr>
          <w:rFonts w:ascii="Arial" w:cs="Arial" w:eastAsia="Arial" w:hAnsi="Arial"/>
          <w:sz w:val="16"/>
          <w:szCs w:val="16"/>
          <w:color w:val="auto"/>
        </w:rPr>
      </w:pPr>
    </w:p>
    <w:p>
      <w:pPr>
        <w:ind w:firstLine="4"/>
        <w:spacing w:after="0" w:line="255" w:lineRule="auto"/>
        <w:tabs>
          <w:tab w:leader="none" w:pos="2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do not exceed in any calendar year $75.0 million (with unused amounts in any calendar year being carried over to succeeding calendar years subject to a maximum (without giving effect to the following proviso) of $100.0 million in any calendar year);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amount in any calendar year may be increased by an amount not to exceed:</w:t>
      </w:r>
    </w:p>
    <w:p>
      <w:pPr>
        <w:spacing w:after="0" w:line="82" w:lineRule="exact"/>
        <w:rPr>
          <w:rFonts w:ascii="Arial" w:cs="Arial" w:eastAsia="Arial" w:hAnsi="Arial"/>
          <w:sz w:val="18"/>
          <w:szCs w:val="18"/>
          <w:color w:val="auto"/>
        </w:rPr>
      </w:pPr>
    </w:p>
    <w:p>
      <w:pPr>
        <w:ind w:left="460" w:right="40" w:firstLine="421"/>
        <w:spacing w:after="0" w:line="257" w:lineRule="auto"/>
        <w:tabs>
          <w:tab w:leader="none" w:pos="1175" w:val="left"/>
        </w:tabs>
        <w:numPr>
          <w:ilvl w:val="2"/>
          <w:numId w:val="159"/>
        </w:numPr>
        <w:rPr>
          <w:rFonts w:ascii="Arial" w:cs="Arial" w:eastAsia="Arial" w:hAnsi="Arial"/>
          <w:sz w:val="18"/>
          <w:szCs w:val="18"/>
          <w:color w:val="auto"/>
        </w:rPr>
      </w:pPr>
      <w:r>
        <w:rPr>
          <w:rFonts w:ascii="Arial" w:cs="Arial" w:eastAsia="Arial" w:hAnsi="Arial"/>
          <w:sz w:val="18"/>
          <w:szCs w:val="18"/>
          <w:color w:val="auto"/>
        </w:rPr>
        <w:t xml:space="preserve">the cash proceeds from the sale of Equity Interests (other than Disqualified Stock) of the Company and, to the extent contributed to the Company, Equity Interests of any of the Company’s direct or indirect parent companies, in each case to members of management, directors or consultants of the Company, any of its Subsidiaries or any of its direct or indirect parent companies that occurs after the NXP Original Issue Date, to the extent the cash proceeds from the sale of such Equity Interests have not otherwise been applied to the payment of Restricted Payments by virtue of clause (3) of Section 4.07 (a) hereof; </w:t>
      </w:r>
      <w:r>
        <w:rPr>
          <w:rFonts w:ascii="Arial" w:cs="Arial" w:eastAsia="Arial" w:hAnsi="Arial"/>
          <w:sz w:val="18"/>
          <w:szCs w:val="18"/>
          <w:u w:val="single" w:color="auto"/>
          <w:color w:val="auto"/>
        </w:rPr>
        <w:t>plus</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20"/>
          </w:cols>
          <w:pgMar w:left="700" w:top="274" w:right="279" w:bottom="1440" w:gutter="0" w:footer="0" w:header="0"/>
        </w:sectPr>
      </w:pPr>
    </w:p>
    <w:bookmarkStart w:id="107" w:name="page108"/>
    <w:bookmarkEnd w:id="107"/>
    <w:p>
      <w:pPr>
        <w:ind w:left="920" w:right="340" w:firstLine="421"/>
        <w:spacing w:after="0" w:line="277" w:lineRule="auto"/>
        <w:tabs>
          <w:tab w:leader="none" w:pos="1625" w:val="left"/>
        </w:tabs>
        <w:numPr>
          <w:ilvl w:val="1"/>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cash proceeds of key man life insurance policies received by the Company or its Restricted Subsidiaries after the NXP Original Issue Date; </w:t>
      </w:r>
      <w:r>
        <w:rPr>
          <w:rFonts w:ascii="Arial" w:cs="Arial" w:eastAsia="Arial" w:hAnsi="Arial"/>
          <w:sz w:val="18"/>
          <w:szCs w:val="18"/>
          <w:u w:val="single" w:color="auto"/>
          <w:color w:val="auto"/>
        </w:rPr>
        <w:t>less</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amount of any Restricted Payments made after the NXP Original Issue Date with the cash proceeds described in clauses (A) and</w:t>
      </w:r>
    </w:p>
    <w:p>
      <w:pPr>
        <w:spacing w:after="0" w:line="46" w:lineRule="exact"/>
        <w:rPr>
          <w:rFonts w:ascii="Arial" w:cs="Arial" w:eastAsia="Arial" w:hAnsi="Arial"/>
          <w:sz w:val="16"/>
          <w:szCs w:val="16"/>
          <w:color w:val="auto"/>
        </w:rPr>
      </w:pPr>
    </w:p>
    <w:p>
      <w:pPr>
        <w:ind w:left="1200" w:hanging="279"/>
        <w:spacing w:after="0"/>
        <w:tabs>
          <w:tab w:leader="none" w:pos="12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of this clause (4);</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cancellation of Indebtedness owing to the Company from members of management of the Company, any of the Company’s direct or indirect parent companies or any of the Company’s Restricted Subsidiaries in connection with a repurchase of Equity Interests of the Company or any of its direct or indirect parent companies will not be deemed to constitute a Restricted Payment for purposes of this Section 4.07 or any other provision of this Indenture;</w:t>
      </w:r>
    </w:p>
    <w:p>
      <w:pPr>
        <w:spacing w:after="0" w:line="79" w:lineRule="exact"/>
        <w:rPr>
          <w:sz w:val="20"/>
          <w:szCs w:val="20"/>
          <w:color w:val="auto"/>
        </w:rPr>
      </w:pPr>
    </w:p>
    <w:p>
      <w:pPr>
        <w:ind w:left="460" w:right="400" w:firstLine="443"/>
        <w:spacing w:after="0" w:line="264" w:lineRule="auto"/>
        <w:tabs>
          <w:tab w:leader="none" w:pos="115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declaration and payment of dividends to holders of any class or series of Disqualified Stock of the Company or any of its Restricted Subsidiaries or any class or series of Preferred Stock of any Restricted Subsidiary issued in accordance with Section 4.09 hereof to the extent such dividends are included in the definition of “Fixed Charges”;</w:t>
      </w:r>
    </w:p>
    <w:p>
      <w:pPr>
        <w:spacing w:after="0" w:line="73"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the declaration and payment of dividends to holders of any class or series of Designated Preferred Stock (other than Disqualified Stock) issued by the Company after the NXP Measurement Date;</w:t>
      </w:r>
    </w:p>
    <w:p>
      <w:pPr>
        <w:spacing w:after="0" w:line="62" w:lineRule="exact"/>
        <w:rPr>
          <w:rFonts w:ascii="Arial" w:cs="Arial" w:eastAsia="Arial" w:hAnsi="Arial"/>
          <w:sz w:val="18"/>
          <w:szCs w:val="18"/>
          <w:color w:val="auto"/>
        </w:rPr>
      </w:pPr>
    </w:p>
    <w:p>
      <w:pPr>
        <w:ind w:left="920" w:right="80" w:firstLine="421"/>
        <w:spacing w:after="0" w:line="279" w:lineRule="auto"/>
        <w:tabs>
          <w:tab w:leader="none" w:pos="162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 xml:space="preserve">the declaration and payment of dividends to a direct or indirect parent company of the Company, the proceeds of which will be used to fund the payment of dividends to holders of any class or series of Designated Preferred Stock (other than Disqualified Stock) of such parent corporation issued after the NXP Measurement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dividends paid pursuant to this clause (B) shall not exceed the aggregate amount of cash actually contributed to the Company from the sale of such Designated Preferred Stock; or</w:t>
      </w:r>
    </w:p>
    <w:p>
      <w:pPr>
        <w:spacing w:after="0" w:line="63" w:lineRule="exact"/>
        <w:rPr>
          <w:rFonts w:ascii="Arial" w:cs="Arial" w:eastAsia="Arial" w:hAnsi="Arial"/>
          <w:sz w:val="17"/>
          <w:szCs w:val="17"/>
          <w:color w:val="auto"/>
        </w:rPr>
      </w:pPr>
    </w:p>
    <w:p>
      <w:pPr>
        <w:ind w:left="920" w:right="100" w:firstLine="421"/>
        <w:spacing w:after="0" w:line="277" w:lineRule="auto"/>
        <w:tabs>
          <w:tab w:leader="none" w:pos="162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declaration and payment of dividends on Refunding Capital Stock that is Preferred Stock in excess of the dividends declarable and payable thereon pursuant to clause (2) of this Section 4.07(b);</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case of each of (A), (B) and (C) of this clause (6), that for the most recently ended four full fiscal quarters for which internal financial statements are available immediately preceding the date of issuance of such Designated Preferred Stock or the declaration of such dividends on Refunding Capital Stock that is Preferred Stock, after giving effect to such issuance or declaration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the Company and its Restricted Subsidiaries on a consolidated basis would have had a Fixed Charge Coverage Ratio of at least 2.00 to 1.00;</w:t>
      </w:r>
    </w:p>
    <w:p>
      <w:pPr>
        <w:spacing w:after="0" w:line="79" w:lineRule="exact"/>
        <w:rPr>
          <w:sz w:val="20"/>
          <w:szCs w:val="20"/>
          <w:color w:val="auto"/>
        </w:rPr>
      </w:pPr>
    </w:p>
    <w:p>
      <w:pPr>
        <w:ind w:left="460" w:right="40" w:firstLine="443"/>
        <w:spacing w:after="0" w:line="302" w:lineRule="auto"/>
        <w:tabs>
          <w:tab w:leader="none" w:pos="115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Investments in Unrestricted Subsidiaries having an aggregate fair market value, taken together with all other Investments made after the NXP Measurement Date pursuant to this clause (7) that are at the time outstanding, without giving effect to the sale of an Unrestricted Subsidiary to the extent the proceeds of such sale do not consist of cash or marketable securities, not to exceed 2.0% of Total Assets at the time of such Investment (with the fair market value of each Investment being measured at the time made and without giving effect to subsequent changes in value);</w:t>
      </w:r>
    </w:p>
    <w:p>
      <w:pPr>
        <w:spacing w:after="0" w:line="46" w:lineRule="exact"/>
        <w:rPr>
          <w:rFonts w:ascii="Arial" w:cs="Arial" w:eastAsia="Arial" w:hAnsi="Arial"/>
          <w:sz w:val="16"/>
          <w:szCs w:val="16"/>
          <w:color w:val="auto"/>
        </w:rPr>
      </w:pPr>
    </w:p>
    <w:p>
      <w:pPr>
        <w:ind w:left="460" w:right="120" w:firstLine="443"/>
        <w:spacing w:after="0" w:line="277" w:lineRule="auto"/>
        <w:tabs>
          <w:tab w:leader="none" w:pos="115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repurchases of Equity Interests deemed to occur upon exercise of stock options or warrants if such Equity Interests represent a portion of the exercise price of such options or warrants;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108" w:name="page109"/>
    <w:bookmarkEnd w:id="108"/>
    <w:p>
      <w:pPr>
        <w:ind w:firstLine="443"/>
        <w:spacing w:after="0" w:line="276" w:lineRule="auto"/>
        <w:tabs>
          <w:tab w:leader="none" w:pos="693" w:val="left"/>
        </w:tabs>
        <w:numPr>
          <w:ilvl w:val="0"/>
          <w:numId w:val="1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declaration and payment of dividends on the Company’s common stock (or the payment of dividends to any direct or indirect parent entity to fund a payment of dividends on such entity’s common stock) following the first public offering of the Company’s common stock or the common stock of any of its direct or indirect parent companies after the NXP Original Issue Date of up to 6.0% per annum of the net cash proceeds received by or contributed to the Company in or from any such public offering, other than public offerings with respect to the Company’s common stock registered on Form S-4 or Form S-8 and other than any public sale constituting an Excluded Contribution;</w:t>
      </w:r>
    </w:p>
    <w:p>
      <w:pPr>
        <w:spacing w:after="0" w:line="64" w:lineRule="exact"/>
        <w:rPr>
          <w:rFonts w:ascii="Arial" w:cs="Arial" w:eastAsia="Arial" w:hAnsi="Arial"/>
          <w:sz w:val="17"/>
          <w:szCs w:val="17"/>
          <w:color w:val="auto"/>
        </w:rPr>
      </w:pPr>
    </w:p>
    <w:p>
      <w:pPr>
        <w:ind w:left="780" w:hanging="337"/>
        <w:spacing w:after="0"/>
        <w:tabs>
          <w:tab w:leader="none" w:pos="7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117" w:lineRule="exact"/>
        <w:rPr>
          <w:rFonts w:ascii="Arial" w:cs="Arial" w:eastAsia="Arial" w:hAnsi="Arial"/>
          <w:sz w:val="18"/>
          <w:szCs w:val="18"/>
          <w:color w:val="auto"/>
        </w:rPr>
      </w:pPr>
    </w:p>
    <w:p>
      <w:pPr>
        <w:ind w:right="60" w:firstLine="443"/>
        <w:spacing w:after="0" w:line="277" w:lineRule="auto"/>
        <w:tabs>
          <w:tab w:leader="none" w:pos="77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other Restricted Payments in an aggregate amount taken together with all other Restricted Payments made pursuant to this clause (11) not to exceed $450.0 million;</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distributions or payments of Securitization Fees;</w:t>
      </w:r>
    </w:p>
    <w:p>
      <w:pPr>
        <w:spacing w:after="0" w:line="117" w:lineRule="exact"/>
        <w:rPr>
          <w:rFonts w:ascii="Arial" w:cs="Arial" w:eastAsia="Arial" w:hAnsi="Arial"/>
          <w:sz w:val="18"/>
          <w:szCs w:val="18"/>
          <w:color w:val="auto"/>
        </w:rPr>
      </w:pPr>
    </w:p>
    <w:p>
      <w:pPr>
        <w:ind w:right="540" w:firstLine="443"/>
        <w:spacing w:after="0" w:line="277" w:lineRule="auto"/>
        <w:tabs>
          <w:tab w:leader="none" w:pos="78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Restricted Payment made in connection with the Transaction and the Merger and the fees and expenses related thereto or owed to Affiliates, in each case to the extent permitted by Section 4.11 hereof;</w:t>
      </w:r>
    </w:p>
    <w:p>
      <w:pPr>
        <w:spacing w:after="0" w:line="62" w:lineRule="exact"/>
        <w:rPr>
          <w:rFonts w:ascii="Arial" w:cs="Arial" w:eastAsia="Arial" w:hAnsi="Arial"/>
          <w:sz w:val="18"/>
          <w:szCs w:val="18"/>
          <w:color w:val="auto"/>
        </w:rPr>
      </w:pPr>
    </w:p>
    <w:p>
      <w:pPr>
        <w:ind w:right="140" w:firstLine="443"/>
        <w:spacing w:after="0" w:line="264" w:lineRule="auto"/>
        <w:tabs>
          <w:tab w:leader="none" w:pos="78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repurchase, redemption or other acquisition or retirement for value of any Subordinated Indebtedness pursuant to the provisions similar to those described under Section 4.10 and Section 4.14 hereof; provided that all Notes validly tendered by Holders in connection with a Change of Control Offer or Asset Sale Offer, as applicable, have been repurchased, redeemed or acquired for value;</w:t>
      </w:r>
    </w:p>
    <w:p>
      <w:pPr>
        <w:spacing w:after="0" w:line="73" w:lineRule="exact"/>
        <w:rPr>
          <w:rFonts w:ascii="Arial" w:cs="Arial" w:eastAsia="Arial" w:hAnsi="Arial"/>
          <w:sz w:val="18"/>
          <w:szCs w:val="18"/>
          <w:color w:val="auto"/>
        </w:rPr>
      </w:pPr>
    </w:p>
    <w:p>
      <w:pPr>
        <w:ind w:right="40" w:firstLine="443"/>
        <w:spacing w:after="0" w:line="277" w:lineRule="auto"/>
        <w:tabs>
          <w:tab w:leader="none" w:pos="78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declaration and payment of dividends by the Company to, or the making of loans to, any direct or indirect parent in amounts required for any direct or indirect parent companies to pay, in each case without duplication,</w:t>
      </w:r>
    </w:p>
    <w:p>
      <w:pPr>
        <w:spacing w:after="0" w:line="62" w:lineRule="exact"/>
        <w:rPr>
          <w:rFonts w:ascii="Arial" w:cs="Arial" w:eastAsia="Arial" w:hAnsi="Arial"/>
          <w:sz w:val="18"/>
          <w:szCs w:val="18"/>
          <w:color w:val="auto"/>
        </w:rPr>
      </w:pPr>
    </w:p>
    <w:p>
      <w:pPr>
        <w:ind w:left="1180" w:hanging="299"/>
        <w:spacing w:after="0"/>
        <w:tabs>
          <w:tab w:leader="none" w:pos="11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franchise and excise taxes and other fees, taxes and expenses required to maintain their corporate existence;</w:t>
      </w:r>
    </w:p>
    <w:p>
      <w:pPr>
        <w:spacing w:after="0" w:line="117" w:lineRule="exact"/>
        <w:rPr>
          <w:rFonts w:ascii="Arial" w:cs="Arial" w:eastAsia="Arial" w:hAnsi="Arial"/>
          <w:sz w:val="18"/>
          <w:szCs w:val="18"/>
          <w:color w:val="auto"/>
        </w:rPr>
      </w:pPr>
    </w:p>
    <w:p>
      <w:pPr>
        <w:ind w:left="460" w:right="160" w:firstLine="421"/>
        <w:spacing w:after="0" w:line="273" w:lineRule="auto"/>
        <w:tabs>
          <w:tab w:leader="none" w:pos="1165"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foreign, federal, state and local income taxes, to the extent such income taxes are attributable to the income of the Company and its Restricted Subsidiaries and, to the extent of the amount actually received from its Unrestricted Subsidiaries, in amounts required to pay such taxes to the extent attributable to the income of such Unrestricted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the amount of such payments in any fiscal year does not exceed the amount that the Company and its Restricted Subsidiaries would be required to pay in respect of foreign, federal, state and local taxes for such fiscal year were the Company, its Restricted Subsidiaries and its Unrestricted Subsidiaries (to the extent described above) to pay such taxes separately from any such parent entity;</w:t>
      </w:r>
    </w:p>
    <w:p>
      <w:pPr>
        <w:spacing w:after="0" w:line="70" w:lineRule="exact"/>
        <w:rPr>
          <w:rFonts w:ascii="Arial" w:cs="Arial" w:eastAsia="Arial" w:hAnsi="Arial"/>
          <w:sz w:val="17"/>
          <w:szCs w:val="17"/>
          <w:color w:val="auto"/>
        </w:rPr>
      </w:pPr>
    </w:p>
    <w:p>
      <w:pPr>
        <w:ind w:left="460" w:right="60" w:firstLine="421"/>
        <w:spacing w:after="0" w:line="264" w:lineRule="auto"/>
        <w:tabs>
          <w:tab w:leader="none" w:pos="116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customary salary, bonus and other benefits payable to officers and employees of any direct or indirect parent company of the Company to the extent such salaries, bonuses and other benefits are attributable to the ownership or operation of the Company and its Restricted Subsidiaries;</w:t>
      </w:r>
    </w:p>
    <w:p>
      <w:pPr>
        <w:spacing w:after="0" w:line="73" w:lineRule="exact"/>
        <w:rPr>
          <w:rFonts w:ascii="Arial" w:cs="Arial" w:eastAsia="Arial" w:hAnsi="Arial"/>
          <w:sz w:val="18"/>
          <w:szCs w:val="18"/>
          <w:color w:val="auto"/>
        </w:rPr>
      </w:pPr>
    </w:p>
    <w:p>
      <w:pPr>
        <w:ind w:left="460" w:right="280" w:firstLine="421"/>
        <w:spacing w:after="0" w:line="308" w:lineRule="auto"/>
        <w:tabs>
          <w:tab w:leader="none" w:pos="1175" w:val="left"/>
        </w:tabs>
        <w:numPr>
          <w:ilvl w:val="1"/>
          <w:numId w:val="164"/>
        </w:numPr>
        <w:rPr>
          <w:rFonts w:ascii="Arial" w:cs="Arial" w:eastAsia="Arial" w:hAnsi="Arial"/>
          <w:sz w:val="17"/>
          <w:szCs w:val="17"/>
          <w:color w:val="auto"/>
        </w:rPr>
      </w:pPr>
      <w:r>
        <w:rPr>
          <w:rFonts w:ascii="Arial" w:cs="Arial" w:eastAsia="Arial" w:hAnsi="Arial"/>
          <w:sz w:val="17"/>
          <w:szCs w:val="17"/>
          <w:color w:val="auto"/>
        </w:rPr>
        <w:t>general corporate operating and overhead costs and expenses of any direct or indirect parent company of the Company to the extent such costs and expenses are attributable to the ownership or operation of the Company and its Restricted Subsidiaries; and</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0"/>
          </w:cols>
          <w:pgMar w:left="700" w:top="274" w:right="259" w:bottom="1440" w:gutter="0" w:footer="0" w:header="0"/>
        </w:sectPr>
      </w:pPr>
    </w:p>
    <w:bookmarkStart w:id="109" w:name="page110"/>
    <w:bookmarkEnd w:id="109"/>
    <w:p>
      <w:pPr>
        <w:ind w:left="1580" w:hanging="279"/>
        <w:spacing w:after="0"/>
        <w:tabs>
          <w:tab w:leader="none" w:pos="1580" w:val="left"/>
        </w:tabs>
        <w:numPr>
          <w:ilvl w:val="1"/>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fees and expenses other than to Affiliates of the Company related to any unsuccessful equity or debt offering of such parent entity;</w:t>
      </w:r>
    </w:p>
    <w:p>
      <w:pPr>
        <w:spacing w:after="0" w:line="140" w:lineRule="exact"/>
        <w:rPr>
          <w:rFonts w:ascii="Arial" w:cs="Arial" w:eastAsia="Arial" w:hAnsi="Arial"/>
          <w:sz w:val="16"/>
          <w:szCs w:val="16"/>
          <w:color w:val="auto"/>
        </w:rPr>
      </w:pPr>
    </w:p>
    <w:p>
      <w:pPr>
        <w:ind w:left="420" w:firstLine="443"/>
        <w:spacing w:after="0" w:line="342" w:lineRule="auto"/>
        <w:tabs>
          <w:tab w:leader="none" w:pos="120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distribution, by dividend or otherwise, of shares of Capital Stock of, or Indebtedness owed to the Company or a Restricted Subsidiary by, Unrestricted Subsidiaries (other than Unrestricted Subsidiaries, the primary assets of which are cash and/or Cash Equivalents); and</w:t>
      </w:r>
    </w:p>
    <w:p>
      <w:pPr>
        <w:spacing w:after="0" w:line="16"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color w:val="auto"/>
        </w:rPr>
        <w:t>provided, that at the time of, and after giving effect to, any Restricted Payment permitted under clauses (11) and (16) of this Section 4.07(b), no Default shall have occurred and be continuing or would occur as a consequence thereof.</w:t>
      </w:r>
    </w:p>
    <w:p>
      <w:pPr>
        <w:spacing w:after="0" w:line="62" w:lineRule="exact"/>
        <w:rPr>
          <w:sz w:val="20"/>
          <w:szCs w:val="20"/>
          <w:color w:val="auto"/>
        </w:rPr>
      </w:pPr>
    </w:p>
    <w:p>
      <w:pPr>
        <w:ind w:left="-40" w:right="120" w:firstLine="921"/>
        <w:spacing w:after="0" w:line="290" w:lineRule="auto"/>
        <w:tabs>
          <w:tab w:leader="none" w:pos="111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As of the Merger Date, all of the Company’s Subsidiaries, including Holdings I, Holdings II, Holdings III, Holdings IV, Holdings V and the Issuer, will be Restricted Subsidiaries. The Company shall not permit any Unrestricted Subsidiary to become a Restricted Subsidiary except pursuant to the last sentence of the definition of “Unrestricted Subsidiary.” For purposes of designating any Restricted Subsidiary as an Unrestricted Subsidiary, all outstanding Investments by the Company and its Restricted Subsidiaries (except to the extent repaid) in the Subsidiary so designated will be deemed to be Restricted Payments in an amount determined as set forth in the last sentence of the definition of “Investments.” Such designation will be permitted only if a Restricted Payment in such amount would be permitted at such time, whether pursuant to Section 4.07(a) hereof or under clause (7), (10) or (11) of Section 4.07(b) hereof, or pursuant to the definition of “Permitted Investments,” and if such Subsidiary otherwise meets the definition of an Unrestricted Subsidiary. Unrestricted Subsidiaries will not be subject to any of the restrictive covenants set forth in this Indenture.</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Dividend and Other Payment Restrictions Affecting Restricted Subsidiaries</w:t>
      </w:r>
      <w:r>
        <w:rPr>
          <w:rFonts w:ascii="Arial" w:cs="Arial" w:eastAsia="Arial" w:hAnsi="Arial"/>
          <w:sz w:val="18"/>
          <w:szCs w:val="18"/>
          <w:color w:val="auto"/>
        </w:rPr>
        <w:t>.</w:t>
      </w:r>
    </w:p>
    <w:p>
      <w:pPr>
        <w:spacing w:after="0" w:line="117" w:lineRule="exact"/>
        <w:rPr>
          <w:sz w:val="20"/>
          <w:szCs w:val="20"/>
          <w:color w:val="auto"/>
        </w:rPr>
      </w:pPr>
    </w:p>
    <w:p>
      <w:pPr>
        <w:ind w:left="-40" w:right="140" w:firstLine="921"/>
        <w:spacing w:after="0" w:line="264" w:lineRule="auto"/>
        <w:tabs>
          <w:tab w:leader="none" w:pos="111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Company shall not, and shall not permit any of its Restricted Subsidiaries that are not Guarantors to, directly or indirectly, create or otherwise cause or suffer to exist or become effective any consensual encumbrance or consensual restriction on the ability of any such Restricted Subsidiary to:</w:t>
      </w:r>
    </w:p>
    <w:p>
      <w:pPr>
        <w:spacing w:after="0" w:line="73" w:lineRule="exact"/>
        <w:rPr>
          <w:rFonts w:ascii="Arial" w:cs="Arial" w:eastAsia="Arial" w:hAnsi="Arial"/>
          <w:sz w:val="18"/>
          <w:szCs w:val="18"/>
          <w:color w:val="auto"/>
        </w:rPr>
      </w:pPr>
    </w:p>
    <w:p>
      <w:pPr>
        <w:ind w:left="420" w:right="40" w:firstLine="443"/>
        <w:spacing w:after="0" w:line="277" w:lineRule="auto"/>
        <w:tabs>
          <w:tab w:leader="none" w:pos="115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pay dividends or make any other distributions to the Company or any of its Restricted Subsidiaries on its Capital Stock or with respect to any other interest or participation in, or measured by, its profits, or</w:t>
      </w:r>
    </w:p>
    <w:p>
      <w:pPr>
        <w:spacing w:after="0" w:line="62" w:lineRule="exact"/>
        <w:rPr>
          <w:rFonts w:ascii="Arial" w:cs="Arial" w:eastAsia="Arial" w:hAnsi="Arial"/>
          <w:sz w:val="18"/>
          <w:szCs w:val="18"/>
          <w:color w:val="auto"/>
        </w:rPr>
      </w:pPr>
    </w:p>
    <w:p>
      <w:pPr>
        <w:ind w:left="1580" w:hanging="279"/>
        <w:spacing w:after="0"/>
        <w:tabs>
          <w:tab w:leader="none" w:pos="158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pay any Indebtedness owed to the Company or any of its Restricted Subsidiaries;</w:t>
      </w:r>
    </w:p>
    <w:p>
      <w:pPr>
        <w:spacing w:after="0" w:line="117" w:lineRule="exact"/>
        <w:rPr>
          <w:rFonts w:ascii="Arial" w:cs="Arial" w:eastAsia="Arial" w:hAnsi="Arial"/>
          <w:sz w:val="18"/>
          <w:szCs w:val="18"/>
          <w:color w:val="auto"/>
        </w:rPr>
      </w:pPr>
    </w:p>
    <w:p>
      <w:pPr>
        <w:ind w:left="1120" w:hanging="257"/>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make loans or advances to the Company or any of its Restricted Subsidiaries; or</w:t>
      </w:r>
    </w:p>
    <w:p>
      <w:pPr>
        <w:spacing w:after="0" w:line="117" w:lineRule="exact"/>
        <w:rPr>
          <w:rFonts w:ascii="Arial" w:cs="Arial" w:eastAsia="Arial" w:hAnsi="Arial"/>
          <w:sz w:val="18"/>
          <w:szCs w:val="18"/>
          <w:color w:val="auto"/>
        </w:rPr>
      </w:pPr>
    </w:p>
    <w:p>
      <w:pPr>
        <w:ind w:left="1120" w:hanging="257"/>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Company or any of its Restricted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80" w:top="274" w:right="259" w:bottom="1440" w:gutter="0" w:footer="0" w:header="0"/>
        </w:sectPr>
      </w:pPr>
    </w:p>
    <w:bookmarkStart w:id="110" w:name="page111"/>
    <w:bookmarkEnd w:id="110"/>
    <w:p>
      <w:pPr>
        <w:ind w:left="720" w:hanging="259"/>
        <w:spacing w:after="0"/>
        <w:tabs>
          <w:tab w:leader="none" w:pos="720" w:val="left"/>
        </w:tabs>
        <w:numPr>
          <w:ilvl w:val="2"/>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restrictions in Section 4.08(a) hereof shall not apply to encumbrances or restrictions existing under or by reason of:</w:t>
      </w:r>
    </w:p>
    <w:p>
      <w:pPr>
        <w:spacing w:after="0" w:line="117" w:lineRule="exact"/>
        <w:rPr>
          <w:rFonts w:ascii="Arial" w:cs="Arial" w:eastAsia="Arial" w:hAnsi="Arial"/>
          <w:sz w:val="18"/>
          <w:szCs w:val="18"/>
          <w:color w:val="auto"/>
        </w:rPr>
      </w:pPr>
    </w:p>
    <w:p>
      <w:pPr>
        <w:ind w:firstLine="443"/>
        <w:spacing w:after="0" w:line="255" w:lineRule="auto"/>
        <w:tabs>
          <w:tab w:leader="none" w:pos="69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Issue Date or the Merger Date, including, without limitation, pursuant to the Senior Credit Facilities and the related documentation, Hedging Obligations and the indentures governing the Existing Secured Notes and the NXP Notes, and, in each case, the related documentation, including any guarantees, collateral documents, instruments and agreements executed in connection therewith, and any additional Indebtedness of the Company or any Restricted Subsidiary with provisions that are, in the good faith judgment of the Company, no more restrictive with respect to such encumbrances and other restrictions taken as a whole than those in effect on the Issue Date or the Merger Date pursuant to the foregoing;</w:t>
      </w:r>
    </w:p>
    <w:p>
      <w:pPr>
        <w:spacing w:after="0" w:line="85" w:lineRule="exact"/>
        <w:rPr>
          <w:rFonts w:ascii="Arial" w:cs="Arial" w:eastAsia="Arial" w:hAnsi="Arial"/>
          <w:sz w:val="18"/>
          <w:szCs w:val="18"/>
          <w:color w:val="auto"/>
        </w:rPr>
      </w:pPr>
    </w:p>
    <w:p>
      <w:pPr>
        <w:ind w:left="700" w:hanging="257"/>
        <w:spacing w:after="0"/>
        <w:tabs>
          <w:tab w:leader="none" w:pos="7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this Indenture and the Notes;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purchase money obligations for property acquired in the ordinary course of business that impose restrictions of the nature discussed in clause</w:t>
      </w:r>
    </w:p>
    <w:p>
      <w:pPr>
        <w:spacing w:after="0" w:line="46" w:lineRule="exact"/>
        <w:rPr>
          <w:rFonts w:ascii="Arial" w:cs="Arial" w:eastAsia="Arial" w:hAnsi="Arial"/>
          <w:sz w:val="16"/>
          <w:szCs w:val="16"/>
          <w:color w:val="auto"/>
        </w:rPr>
      </w:pPr>
    </w:p>
    <w:p>
      <w:pPr>
        <w:ind w:left="260" w:hanging="256"/>
        <w:spacing w:after="0"/>
        <w:tabs>
          <w:tab w:leader="none" w:pos="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of Section 4.08(a) hereof on the property so acquired;</w:t>
      </w:r>
    </w:p>
    <w:p>
      <w:pPr>
        <w:spacing w:after="0" w:line="102" w:lineRule="exact"/>
        <w:rPr>
          <w:rFonts w:ascii="Arial" w:cs="Arial" w:eastAsia="Arial" w:hAnsi="Arial"/>
          <w:sz w:val="18"/>
          <w:szCs w:val="18"/>
          <w:color w:val="auto"/>
        </w:rPr>
      </w:pPr>
    </w:p>
    <w:p>
      <w:pPr>
        <w:ind w:left="700" w:hanging="257"/>
        <w:spacing w:after="0"/>
        <w:tabs>
          <w:tab w:leader="none" w:pos="7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applicable law or any applicable rule, regulation or order;</w:t>
      </w:r>
    </w:p>
    <w:p>
      <w:pPr>
        <w:spacing w:after="0" w:line="117" w:lineRule="exact"/>
        <w:rPr>
          <w:rFonts w:ascii="Arial" w:cs="Arial" w:eastAsia="Arial" w:hAnsi="Arial"/>
          <w:sz w:val="18"/>
          <w:szCs w:val="18"/>
          <w:color w:val="auto"/>
        </w:rPr>
      </w:pPr>
    </w:p>
    <w:p>
      <w:pPr>
        <w:ind w:right="100" w:firstLine="443"/>
        <w:spacing w:after="0" w:line="257" w:lineRule="auto"/>
        <w:tabs>
          <w:tab w:leader="none" w:pos="69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Company or any of its Restricted Subsidiaries in existence at the time of such acquisition or at the time it merges or amalgamates with or into the Company or any of its Restricted Subsidiaries or assumed in connection with the acquisition of assets from such Person (but, in any such case, not created in contemplation thereof), which encumbrance or restriction is not applicable to any Person, or the properties or assets of any Person, other than the Person and its Subsidiaries, or the property or assets of the Person and its Subsidiaries, so acquired or the property or assets so assumed;</w:t>
      </w:r>
    </w:p>
    <w:p>
      <w:pPr>
        <w:spacing w:after="0" w:line="80" w:lineRule="exact"/>
        <w:rPr>
          <w:rFonts w:ascii="Arial" w:cs="Arial" w:eastAsia="Arial" w:hAnsi="Arial"/>
          <w:sz w:val="18"/>
          <w:szCs w:val="18"/>
          <w:color w:val="auto"/>
        </w:rPr>
      </w:pPr>
    </w:p>
    <w:p>
      <w:pPr>
        <w:ind w:right="260" w:firstLine="443"/>
        <w:spacing w:after="0" w:line="308" w:lineRule="auto"/>
        <w:tabs>
          <w:tab w:leader="none" w:pos="693" w:val="left"/>
        </w:tabs>
        <w:numPr>
          <w:ilvl w:val="1"/>
          <w:numId w:val="172"/>
        </w:numPr>
        <w:rPr>
          <w:rFonts w:ascii="Arial" w:cs="Arial" w:eastAsia="Arial" w:hAnsi="Arial"/>
          <w:sz w:val="17"/>
          <w:szCs w:val="17"/>
          <w:color w:val="auto"/>
        </w:rPr>
      </w:pPr>
      <w:r>
        <w:rPr>
          <w:rFonts w:ascii="Arial" w:cs="Arial" w:eastAsia="Arial" w:hAnsi="Arial"/>
          <w:sz w:val="17"/>
          <w:szCs w:val="17"/>
          <w:color w:val="auto"/>
        </w:rPr>
        <w:t>contracts for the sale of assets, including customary restrictions with respect to a Subsidiary of the Company pursuant to an agreement that has been entered into for the sale or disposition of all or substantially all of the Capital Stock or assets of such Subsidiary;</w:t>
      </w:r>
    </w:p>
    <w:p>
      <w:pPr>
        <w:spacing w:after="0" w:line="38" w:lineRule="exact"/>
        <w:rPr>
          <w:rFonts w:ascii="Arial" w:cs="Arial" w:eastAsia="Arial" w:hAnsi="Arial"/>
          <w:sz w:val="17"/>
          <w:szCs w:val="17"/>
          <w:color w:val="auto"/>
        </w:rPr>
      </w:pPr>
    </w:p>
    <w:p>
      <w:pPr>
        <w:ind w:right="300" w:firstLine="443"/>
        <w:spacing w:after="0" w:line="277" w:lineRule="auto"/>
        <w:tabs>
          <w:tab w:leader="none" w:pos="69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Secured Indebtedness otherwise permitted to be incurred pursuant to Section 4.09 hereof and Section 4.12 hereof that limit the right of the debtor to dispose of the assets securing such Indebtedness;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w:t>
      </w:r>
    </w:p>
    <w:p>
      <w:pPr>
        <w:spacing w:after="0" w:line="140" w:lineRule="exact"/>
        <w:rPr>
          <w:rFonts w:ascii="Arial" w:cs="Arial" w:eastAsia="Arial" w:hAnsi="Arial"/>
          <w:sz w:val="16"/>
          <w:szCs w:val="16"/>
          <w:color w:val="auto"/>
        </w:rPr>
      </w:pPr>
    </w:p>
    <w:p>
      <w:pPr>
        <w:ind w:right="480" w:firstLine="443"/>
        <w:spacing w:after="0" w:line="277" w:lineRule="auto"/>
        <w:tabs>
          <w:tab w:leader="none" w:pos="69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other Indebtedness, Disqualified Stock or Preferred Stock of Foreign Subsidiaries permitted to be incurred subsequent to the Issue Date pursuant to the provisions of Section 4.09 hereof;</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customary provisions in joint venture agreements and other similar agreements relating solely to such joint venture;</w:t>
      </w:r>
    </w:p>
    <w:p>
      <w:pPr>
        <w:spacing w:after="0" w:line="117" w:lineRule="exact"/>
        <w:rPr>
          <w:rFonts w:ascii="Arial" w:cs="Arial" w:eastAsia="Arial" w:hAnsi="Arial"/>
          <w:sz w:val="18"/>
          <w:szCs w:val="18"/>
          <w:color w:val="auto"/>
        </w:rPr>
      </w:pPr>
    </w:p>
    <w:p>
      <w:pPr>
        <w:ind w:right="860" w:firstLine="443"/>
        <w:spacing w:after="0" w:line="277" w:lineRule="auto"/>
        <w:tabs>
          <w:tab w:leader="none" w:pos="77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customary provisions contained in leases, licenses or similar agreements, including with respect to intellectual property and other agreements, in each case, entered into in the ordinary course of business;</w:t>
      </w:r>
    </w:p>
    <w:p>
      <w:pPr>
        <w:spacing w:after="0" w:line="62" w:lineRule="exact"/>
        <w:rPr>
          <w:rFonts w:ascii="Arial" w:cs="Arial" w:eastAsia="Arial" w:hAnsi="Arial"/>
          <w:sz w:val="18"/>
          <w:szCs w:val="18"/>
          <w:color w:val="auto"/>
        </w:rPr>
      </w:pPr>
    </w:p>
    <w:p>
      <w:pPr>
        <w:ind w:right="220" w:firstLine="443"/>
        <w:spacing w:after="0" w:line="342" w:lineRule="auto"/>
        <w:tabs>
          <w:tab w:leader="none" w:pos="783"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any encumbrances or restrictions of the type referred to in clauses (1), (2) and (3) of Section 4.08 (a) hereof imposed by any amendments, modifications, restatements, renewals, increases, supplements, refundings, replacements or refinancings of the contracts, instruments or</w:t>
      </w:r>
    </w:p>
    <w:p>
      <w:pPr>
        <w:spacing w:after="0" w:line="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40"/>
          </w:cols>
          <w:pgMar w:left="700" w:top="274" w:right="259" w:bottom="1440" w:gutter="0" w:footer="0" w:header="0"/>
        </w:sectPr>
      </w:pPr>
    </w:p>
    <w:bookmarkStart w:id="111" w:name="page112"/>
    <w:bookmarkEnd w:id="111"/>
    <w:p>
      <w:pPr>
        <w:ind w:left="440"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referred to in clauses (1) through (11) of this Section 4.08(b); provided that such amendments, modifications, restatements, renewals, increases, supplements, refundings, replacements or refinancings are, in the good faith judgment of the Company, no more restrictive with respect to such encumbrance and other restrictions taken as a whole than those prior to such amendment, modification, restatement, renewal, increase, supplement, refunding, replacement or refinancing; and</w:t>
      </w:r>
    </w:p>
    <w:p>
      <w:pPr>
        <w:spacing w:after="0" w:line="79" w:lineRule="exact"/>
        <w:rPr>
          <w:sz w:val="20"/>
          <w:szCs w:val="20"/>
          <w:color w:val="auto"/>
        </w:rPr>
      </w:pPr>
    </w:p>
    <w:p>
      <w:pPr>
        <w:ind w:left="440" w:right="620" w:firstLine="443"/>
        <w:spacing w:after="0" w:line="277" w:lineRule="auto"/>
        <w:tabs>
          <w:tab w:leader="none" w:pos="122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restrictions created in connection with any Qualified Securitization Facility that, in the good faith determination of the Company, are necessary or advisable to effect such Qualified Securitization Facility.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Limitation on Incurrence of Indebtedness and Issuance of Disqualified Stock and Preferred Stock</w:t>
      </w:r>
      <w:r>
        <w:rPr>
          <w:rFonts w:ascii="Arial" w:cs="Arial" w:eastAsia="Arial" w:hAnsi="Arial"/>
          <w:sz w:val="18"/>
          <w:szCs w:val="18"/>
          <w:color w:val="auto"/>
        </w:rPr>
        <w:t>.</w:t>
      </w:r>
    </w:p>
    <w:p>
      <w:pPr>
        <w:spacing w:after="0" w:line="117" w:lineRule="exact"/>
        <w:rPr>
          <w:sz w:val="20"/>
          <w:szCs w:val="20"/>
          <w:color w:val="auto"/>
        </w:rPr>
      </w:pPr>
    </w:p>
    <w:p>
      <w:pPr>
        <w:ind w:left="-20" w:right="60" w:firstLine="921"/>
        <w:spacing w:after="0" w:line="269" w:lineRule="auto"/>
        <w:tabs>
          <w:tab w:leader="none" w:pos="1138"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Company shall not, and shall not permit any of its Restricted Subsidiaries to, directly or indirectly, create, incur, issue, assume, guarantee or otherwise become directly or indirectly liable, contingently or otherwise (collectively, “</w:t>
      </w:r>
      <w:r>
        <w:rPr>
          <w:rFonts w:ascii="Arial" w:cs="Arial" w:eastAsia="Arial" w:hAnsi="Arial"/>
          <w:sz w:val="17"/>
          <w:szCs w:val="17"/>
          <w:u w:val="single" w:color="auto"/>
          <w:color w:val="auto"/>
        </w:rPr>
        <w:t>incur</w:t>
      </w:r>
      <w:r>
        <w:rPr>
          <w:rFonts w:ascii="Arial" w:cs="Arial" w:eastAsia="Arial" w:hAnsi="Arial"/>
          <w:sz w:val="17"/>
          <w:szCs w:val="17"/>
          <w:color w:val="auto"/>
        </w:rPr>
        <w:t>” and collectively, an “</w:t>
      </w:r>
      <w:r>
        <w:rPr>
          <w:rFonts w:ascii="Arial" w:cs="Arial" w:eastAsia="Arial" w:hAnsi="Arial"/>
          <w:sz w:val="17"/>
          <w:szCs w:val="17"/>
          <w:u w:val="single" w:color="auto"/>
          <w:color w:val="auto"/>
        </w:rPr>
        <w:t>incurrence</w:t>
      </w:r>
      <w:r>
        <w:rPr>
          <w:rFonts w:ascii="Arial" w:cs="Arial" w:eastAsia="Arial" w:hAnsi="Arial"/>
          <w:sz w:val="17"/>
          <w:szCs w:val="17"/>
          <w:color w:val="auto"/>
        </w:rPr>
        <w:t>”) with respect to any Indebtedness (including Acquired Indebtedness) and the Company will not issue any shares of Disqualified Stock and will not permit any Restricted Subsidiary to issue any shares of Disqualified Stock or Preferred Stock; provided, that the Company may incur Indebtedness (including Acquired Indebtedness) or issue shares of Disqualified Stock, and, subject to Section 4.09(c) hereof, any Restricted Subsidiary may incur Indebtedness (including Acquired Indebtedness), issue shares of Disqualified Stock and issue shares of Preferred Stock, if the Fixed Charge Coverage Ratio on a consolidated basis for the Company and its Restricted Subsidiaries’ most recently ended four fiscal quarters for which internal financial statements are available immediately preceding the date on which such additional Indebtedness is incurred or such Disqualified Stock or Preferred Stock is issued would have been at least 2.00 to 1.00 (the “</w:t>
      </w:r>
      <w:r>
        <w:rPr>
          <w:rFonts w:ascii="Arial" w:cs="Arial" w:eastAsia="Arial" w:hAnsi="Arial"/>
          <w:sz w:val="17"/>
          <w:szCs w:val="17"/>
          <w:u w:val="single" w:color="auto"/>
          <w:color w:val="auto"/>
        </w:rPr>
        <w:t>Fixed Charge Coverage Test</w:t>
      </w:r>
      <w:r>
        <w:rPr>
          <w:rFonts w:ascii="Arial" w:cs="Arial" w:eastAsia="Arial" w:hAnsi="Arial"/>
          <w:sz w:val="17"/>
          <w:szCs w:val="17"/>
          <w:color w:val="auto"/>
        </w:rPr>
        <w:t xml:space="preserve">”), determined on a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basis (including a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spacing w:after="0" w:line="74" w:lineRule="exact"/>
        <w:rPr>
          <w:rFonts w:ascii="Arial" w:cs="Arial" w:eastAsia="Arial" w:hAnsi="Arial"/>
          <w:sz w:val="17"/>
          <w:szCs w:val="17"/>
          <w:color w:val="auto"/>
        </w:rPr>
      </w:pPr>
    </w:p>
    <w:p>
      <w:pPr>
        <w:ind w:left="1140" w:hanging="257"/>
        <w:spacing w:after="0"/>
        <w:tabs>
          <w:tab w:leader="none" w:pos="11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provisions of Section 4.09(a) hereof shall not apply to:</w:t>
      </w:r>
    </w:p>
    <w:p>
      <w:pPr>
        <w:spacing w:after="0" w:line="117" w:lineRule="exact"/>
        <w:rPr>
          <w:rFonts w:ascii="Arial" w:cs="Arial" w:eastAsia="Arial" w:hAnsi="Arial"/>
          <w:sz w:val="18"/>
          <w:szCs w:val="18"/>
          <w:color w:val="auto"/>
        </w:rPr>
      </w:pPr>
    </w:p>
    <w:p>
      <w:pPr>
        <w:ind w:left="440" w:firstLine="443"/>
        <w:spacing w:after="0" w:line="272" w:lineRule="auto"/>
        <w:tabs>
          <w:tab w:leader="none" w:pos="1133"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incurrence of Indebtedness under Credit Facilities by the Company, the Issuer or any other Restricted Subsidiary and the issuance and creation of letters of credit and bankers’ acceptances thereunder (with letters of credit and bankers’ acceptances being deemed to have a principal amount equal to the face amount thereof), and any Refinancing Indebtedness in respect thereof and Guarantees in respect of such Indebtedness, up to an aggregate principal amount outstanding at any one time, when taken together with the aggregate principal amount (or, if issued with original issue discount, the accreted value) of Existing Secured Notes, the NXP Notes and Notes then outstanding, of (i) $5,250.0 million, plus (ii) €750.0 million, plus (iii) in the case of any refinancing of any Indebtedness permitted under this clause (1) or any portion thereof, the aggregate amount of fees, underwriting discounts, premiums and other costs and expenses Incurred in connection with such refinancing;</w:t>
      </w:r>
    </w:p>
    <w:p>
      <w:pPr>
        <w:spacing w:after="0" w:line="69" w:lineRule="exact"/>
        <w:rPr>
          <w:rFonts w:ascii="Arial" w:cs="Arial" w:eastAsia="Arial" w:hAnsi="Arial"/>
          <w:sz w:val="17"/>
          <w:szCs w:val="17"/>
          <w:color w:val="auto"/>
        </w:rPr>
      </w:pPr>
    </w:p>
    <w:p>
      <w:pPr>
        <w:ind w:left="440" w:right="100" w:firstLine="443"/>
        <w:spacing w:after="0" w:line="277" w:lineRule="auto"/>
        <w:tabs>
          <w:tab w:leader="none" w:pos="113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incurrence by the Issuer and any Guarantor of Indebtedness represented by the Notes (not including any Additional Notes), including any Guarantee of the Notes;</w:t>
      </w:r>
    </w:p>
    <w:p>
      <w:pPr>
        <w:spacing w:after="0" w:line="62" w:lineRule="exact"/>
        <w:rPr>
          <w:rFonts w:ascii="Arial" w:cs="Arial" w:eastAsia="Arial" w:hAnsi="Arial"/>
          <w:sz w:val="18"/>
          <w:szCs w:val="18"/>
          <w:color w:val="auto"/>
        </w:rPr>
      </w:pPr>
    </w:p>
    <w:p>
      <w:pPr>
        <w:ind w:left="440" w:right="320" w:firstLine="443"/>
        <w:spacing w:after="0" w:line="277" w:lineRule="auto"/>
        <w:tabs>
          <w:tab w:leader="none" w:pos="113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Indebtedness of the Company, the Issuer and their Subsidiaries in existence on the Issue Date or the Merger Date (other than Indebtedness described in clauses (1) and (2) of this Section 4.09(b));</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60" w:top="274" w:right="239" w:bottom="1440" w:gutter="0" w:footer="0" w:header="0"/>
        </w:sectPr>
      </w:pPr>
    </w:p>
    <w:bookmarkStart w:id="112" w:name="page113"/>
    <w:bookmarkEnd w:id="112"/>
    <w:p>
      <w:pPr>
        <w:ind w:right="300" w:firstLine="443"/>
        <w:spacing w:after="0" w:line="273" w:lineRule="auto"/>
        <w:tabs>
          <w:tab w:leader="none" w:pos="693" w:val="left"/>
        </w:tabs>
        <w:numPr>
          <w:ilvl w:val="0"/>
          <w:numId w:val="1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(including Capitalized Lease Obligations), Disqualified Stock and Preferred Stock incurred by the Company or any of its Restricted Subsidiaries, to finance the purchase, lease or improvement of property (real or personal) or equipment that is used or useful in a Similar Business, whether through the direct purchase of assets or the Capital Stock of any Person owning such assets in an aggregate principal amount, together with any Refinancing Indebtedness in respect thereof and all other Indebtedness, Disqualified Stock and/or Preferred Stock issued and outstanding under this clause (4), not to exceed 4.0% of Total Assets at any time outstanding; so long as such Indebtedness exists at the date of such purchase, lease or improvement or is created within 270 days thereafter;</w:t>
      </w:r>
    </w:p>
    <w:p>
      <w:pPr>
        <w:spacing w:after="0" w:line="70" w:lineRule="exact"/>
        <w:rPr>
          <w:rFonts w:ascii="Arial" w:cs="Arial" w:eastAsia="Arial" w:hAnsi="Arial"/>
          <w:sz w:val="17"/>
          <w:szCs w:val="17"/>
          <w:color w:val="auto"/>
        </w:rPr>
      </w:pPr>
    </w:p>
    <w:p>
      <w:pPr>
        <w:ind w:right="180" w:firstLine="443"/>
        <w:spacing w:after="0" w:line="279" w:lineRule="auto"/>
        <w:tabs>
          <w:tab w:leader="none" w:pos="69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Indebtedness incurred by the Company or any of its Restricted Subsidiaries constituting reimbursement obligations with respect to letters of credit issued in the ordinary course of business, including letters of credit in respect of workers’ compensation claims, or other Indebtedness with respect to reimbursement type obligations regarding workers’ compensation claims; provided, that upon the drawing of such letters of credit or the incurrence of such Indebtedness, such obligations are reimbursed within 30 days following such drawing or incurrence;</w:t>
      </w:r>
    </w:p>
    <w:p>
      <w:pPr>
        <w:spacing w:after="0" w:line="63" w:lineRule="exact"/>
        <w:rPr>
          <w:rFonts w:ascii="Arial" w:cs="Arial" w:eastAsia="Arial" w:hAnsi="Arial"/>
          <w:sz w:val="17"/>
          <w:szCs w:val="17"/>
          <w:color w:val="auto"/>
        </w:rPr>
      </w:pPr>
    </w:p>
    <w:p>
      <w:pPr>
        <w:ind w:firstLine="443"/>
        <w:spacing w:after="0" w:line="259" w:lineRule="auto"/>
        <w:tabs>
          <w:tab w:leader="none" w:pos="69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Indebtedness arising from agreements of the Company or its Restricted Subsidiaries providing for indemnification, adjustment of purchase price, earnouts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78" w:lineRule="exact"/>
        <w:rPr>
          <w:rFonts w:ascii="Arial" w:cs="Arial" w:eastAsia="Arial" w:hAnsi="Arial"/>
          <w:sz w:val="18"/>
          <w:szCs w:val="18"/>
          <w:color w:val="auto"/>
        </w:rPr>
      </w:pPr>
    </w:p>
    <w:p>
      <w:pPr>
        <w:ind w:left="460" w:right="340" w:firstLine="421"/>
        <w:spacing w:after="0" w:line="264" w:lineRule="auto"/>
        <w:tabs>
          <w:tab w:leader="none" w:pos="117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such Indebtedness is not reflected on the balance sheet of the Company or any of its Restricted Subsidiaries (contingent obligations referred to in a footnote to financial statements and not otherwise reflected on the balance sheet will not be deemed to be reflected on such balance sheet for purposes of this clause (6) (a)); and</w:t>
      </w:r>
    </w:p>
    <w:p>
      <w:pPr>
        <w:spacing w:after="0" w:line="73" w:lineRule="exact"/>
        <w:rPr>
          <w:rFonts w:ascii="Arial" w:cs="Arial" w:eastAsia="Arial" w:hAnsi="Arial"/>
          <w:sz w:val="18"/>
          <w:szCs w:val="18"/>
          <w:color w:val="auto"/>
        </w:rPr>
      </w:pPr>
    </w:p>
    <w:p>
      <w:pPr>
        <w:ind w:left="460" w:right="400" w:firstLine="421"/>
        <w:spacing w:after="0" w:line="312" w:lineRule="auto"/>
        <w:tabs>
          <w:tab w:leader="none" w:pos="1165"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maximum assumable liability in respect of all such Indebtedness shall at no time exceed the gross proceeds including non-cash proceeds (the fair market value of such non-cash proceeds being measured at the time received and without giving effect to any subsequent changes in value) actually received by the Company and its Restricted Subsidiaries in connection with such disposition;</w:t>
      </w:r>
    </w:p>
    <w:p>
      <w:pPr>
        <w:spacing w:after="0" w:line="38" w:lineRule="exact"/>
        <w:rPr>
          <w:rFonts w:ascii="Arial" w:cs="Arial" w:eastAsia="Arial" w:hAnsi="Arial"/>
          <w:sz w:val="16"/>
          <w:szCs w:val="16"/>
          <w:color w:val="auto"/>
        </w:rPr>
      </w:pPr>
    </w:p>
    <w:p>
      <w:pPr>
        <w:ind w:right="20" w:firstLine="443"/>
        <w:spacing w:after="0" w:line="257" w:lineRule="auto"/>
        <w:tabs>
          <w:tab w:leader="none" w:pos="69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Indebtedness of the Company to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owing to a Restricted Subsidiary that is not a Guarantor (other than the Issuer) is expressly subordinated in right of payment to the Notes;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subsequent issuance or transfer of any Capital Stock or any other event which results in any Restricted Subsidiary ceasing to be a Restricted Subsidiary or any other subsequent transfer of any such Indebtedness (except to the Company or another Restricted Subsidiary) shall be deemed, in each case, to be an incurrence of such Indebtedness;</w:t>
      </w:r>
    </w:p>
    <w:p>
      <w:pPr>
        <w:spacing w:after="0" w:line="80" w:lineRule="exact"/>
        <w:rPr>
          <w:rFonts w:ascii="Arial" w:cs="Arial" w:eastAsia="Arial" w:hAnsi="Arial"/>
          <w:sz w:val="18"/>
          <w:szCs w:val="18"/>
          <w:color w:val="auto"/>
        </w:rPr>
      </w:pPr>
    </w:p>
    <w:p>
      <w:pPr>
        <w:ind w:right="140" w:firstLine="443"/>
        <w:spacing w:after="0" w:line="279" w:lineRule="auto"/>
        <w:tabs>
          <w:tab w:leader="none" w:pos="69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Indebtedness of a Restricted Subsidiary to the Company or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Guarantor incurs such Indebtedness to a Restricted Subsidiary that is not a Guarantor (other than the Issuer), such Indebtedness is expressly subordinated in right of payment to the Guarantee of the Notes of such Guarantor;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subsequent transfer of any such Indebtedness (except to the Company or another Restricted Subsidiary) shall be deemed, in each case, to be an incurrence of such Indebtedness;</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700" w:top="274" w:right="239" w:bottom="1440" w:gutter="0" w:footer="0" w:header="0"/>
        </w:sectPr>
      </w:pPr>
    </w:p>
    <w:bookmarkStart w:id="113" w:name="page114"/>
    <w:bookmarkEnd w:id="113"/>
    <w:p>
      <w:pPr>
        <w:ind w:firstLine="443"/>
        <w:spacing w:after="0" w:line="259" w:lineRule="auto"/>
        <w:tabs>
          <w:tab w:leader="none" w:pos="693"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shares of Preferred Stock of a Restricted Subsidiary issued to the Company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the Company or another of its Restricted Subsidiaries) shall be deemed in each case to be an issuance of such shares of Preferred Stock;</w:t>
      </w:r>
    </w:p>
    <w:p>
      <w:pPr>
        <w:spacing w:after="0" w:line="78" w:lineRule="exact"/>
        <w:rPr>
          <w:rFonts w:ascii="Arial" w:cs="Arial" w:eastAsia="Arial" w:hAnsi="Arial"/>
          <w:sz w:val="18"/>
          <w:szCs w:val="18"/>
          <w:color w:val="auto"/>
        </w:rPr>
      </w:pPr>
    </w:p>
    <w:p>
      <w:pPr>
        <w:ind w:firstLine="443"/>
        <w:spacing w:after="0" w:line="308" w:lineRule="auto"/>
        <w:tabs>
          <w:tab w:leader="none" w:pos="78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Hedging Obligations (excluding Hedging Obligations entered into for speculative purposes) for the purpose of limiting interest rate risk with respect to any Indebtedness permitted to be incurred pursuant to this Section 4.09, exchange rate risk or commodity pricing risk;</w:t>
      </w:r>
    </w:p>
    <w:p>
      <w:pPr>
        <w:spacing w:after="0" w:line="38" w:lineRule="exact"/>
        <w:rPr>
          <w:rFonts w:ascii="Arial" w:cs="Arial" w:eastAsia="Arial" w:hAnsi="Arial"/>
          <w:sz w:val="17"/>
          <w:szCs w:val="17"/>
          <w:color w:val="auto"/>
        </w:rPr>
      </w:pPr>
    </w:p>
    <w:p>
      <w:pPr>
        <w:ind w:right="500" w:firstLine="443"/>
        <w:spacing w:after="0" w:line="277" w:lineRule="auto"/>
        <w:tabs>
          <w:tab w:leader="none" w:pos="77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obligations in respect of performance, bid, appeal and surety bonds and completion guarantees provided by the Company or any of its Restricted Subsidiaries in the ordinary course of business;</w:t>
      </w:r>
    </w:p>
    <w:p>
      <w:pPr>
        <w:spacing w:after="0" w:line="62" w:lineRule="exact"/>
        <w:rPr>
          <w:rFonts w:ascii="Arial" w:cs="Arial" w:eastAsia="Arial" w:hAnsi="Arial"/>
          <w:sz w:val="18"/>
          <w:szCs w:val="18"/>
          <w:color w:val="auto"/>
        </w:rPr>
      </w:pPr>
    </w:p>
    <w:p>
      <w:pPr>
        <w:ind w:firstLine="443"/>
        <w:spacing w:after="0" w:line="286" w:lineRule="auto"/>
        <w:tabs>
          <w:tab w:leader="none" w:pos="82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 Indebtedness or Disqualified Stock of the Company and Indebtedness, Disqualified Stock or Preferred Stock of the Company or any Restricted Subsidiary equal to 200.0% of the net cash proceeds received by the Company since immediately after the Transaction Date from the issue or sale of Equity Interests of the Company or any of its direct or indirect parent companies or cash contributed to the capital of the Company (in each case, other than proceeds of Disqualified Stock or sales of Equity Interests to the Company or any of its Subsidiaries) as determined in accordance with clauses (3)(B) and (3)(C) of Section 4.07(a) hereof to the extent such net cash proceeds or cash have not been applied pursuant to such clauses to make Restricted Payments or to make other Investments, payments or exchanges pursuant to Section 4.07(b) hereof or to make Permitted Investments (other than Permitted Investments specified in clauses (1) and (3) of the definition thereof) and (b) Indebtedness or Disqualified Stock of the Company and Indebtedness, Disqualified Stock or Preferred Stock of the Company or, subject to Section 4.09(c) hereof,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clause (12)(b), does not at any one time outstanding exceed $900.0 million (it being understood that any Indebtedness, Disqualified Stock or Preferred Stock incurred pursuant to this clause (12) (b) shall cease to be deemed incurred or outstanding for purposes of this clause (12)(b) but shall be deemed incurred for the purposes of Section 4.09(a) hereof from and after the first date on which the Company or such Restricted Subsidiary could have incurred such Indebtedness, Disqualified Stock or Preferred Stock under Section 4.09 (a) hereof without reliance on this clause (12)(b));</w:t>
      </w:r>
    </w:p>
    <w:p>
      <w:pPr>
        <w:spacing w:after="0" w:line="63" w:lineRule="exact"/>
        <w:rPr>
          <w:rFonts w:ascii="Arial" w:cs="Arial" w:eastAsia="Arial" w:hAnsi="Arial"/>
          <w:sz w:val="16"/>
          <w:szCs w:val="16"/>
          <w:color w:val="auto"/>
        </w:rPr>
      </w:pPr>
    </w:p>
    <w:p>
      <w:pPr>
        <w:ind w:firstLine="443"/>
        <w:spacing w:after="0" w:line="273" w:lineRule="auto"/>
        <w:tabs>
          <w:tab w:leader="none" w:pos="78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incurrence by the Company or any Restricted Subsidiary, of Indebtedness, Disqualified Stock or Preferred Stock which serves to refund or refinance any Indebtedness, Disqualified Stock or Preferred Stock incurred as permitted under Section 4.09(a) hereof and clauses (2), (3), (4) and (12)(a) of this Section 4.09(b), this clause (13) and clause (14) of this Section 4.09(b) or any Indebtedness, Disqualified Stock or Preferred Stock issued to so refund or refinance such Indebtedness, Disqualified Stock or Preferred Stock including additional Indebtedness, Disqualified Stock or Preferred Stock incurred to pay premiums (including reasonable tender premiums), defeasance costs and fees in connection therewith (the “</w:t>
      </w:r>
      <w:r>
        <w:rPr>
          <w:rFonts w:ascii="Arial" w:cs="Arial" w:eastAsia="Arial" w:hAnsi="Arial"/>
          <w:sz w:val="17"/>
          <w:szCs w:val="17"/>
          <w:u w:val="single" w:color="auto"/>
          <w:color w:val="auto"/>
        </w:rPr>
        <w:t>Refinancing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prior to its respective maturity; </w:t>
      </w:r>
      <w:r>
        <w:rPr>
          <w:rFonts w:ascii="Arial" w:cs="Arial" w:eastAsia="Arial" w:hAnsi="Arial"/>
          <w:sz w:val="17"/>
          <w:szCs w:val="17"/>
          <w:u w:val="single" w:color="auto"/>
          <w:color w:val="auto"/>
        </w:rPr>
        <w:t>provided</w:t>
      </w:r>
      <w:r>
        <w:rPr>
          <w:rFonts w:ascii="Arial" w:cs="Arial" w:eastAsia="Arial" w:hAnsi="Arial"/>
          <w:sz w:val="17"/>
          <w:szCs w:val="17"/>
          <w:color w:val="auto"/>
        </w:rPr>
        <w:t>, that such Refinancing Indebtedness:</w:t>
      </w:r>
    </w:p>
    <w:p>
      <w:pPr>
        <w:spacing w:after="0" w:line="70" w:lineRule="exact"/>
        <w:rPr>
          <w:rFonts w:ascii="Arial" w:cs="Arial" w:eastAsia="Arial" w:hAnsi="Arial"/>
          <w:sz w:val="17"/>
          <w:szCs w:val="17"/>
          <w:color w:val="auto"/>
        </w:rPr>
      </w:pPr>
    </w:p>
    <w:p>
      <w:pPr>
        <w:ind w:left="460" w:right="260" w:firstLine="421"/>
        <w:spacing w:after="0" w:line="308" w:lineRule="auto"/>
        <w:tabs>
          <w:tab w:leader="none" w:pos="1175" w:val="left"/>
        </w:tabs>
        <w:numPr>
          <w:ilvl w:val="1"/>
          <w:numId w:val="177"/>
        </w:numPr>
        <w:rPr>
          <w:rFonts w:ascii="Arial" w:cs="Arial" w:eastAsia="Arial" w:hAnsi="Arial"/>
          <w:sz w:val="17"/>
          <w:szCs w:val="17"/>
          <w:color w:val="auto"/>
        </w:rPr>
      </w:pPr>
      <w:r>
        <w:rPr>
          <w:rFonts w:ascii="Arial" w:cs="Arial" w:eastAsia="Arial" w:hAnsi="Arial"/>
          <w:sz w:val="17"/>
          <w:szCs w:val="17"/>
          <w:color w:val="auto"/>
        </w:rPr>
        <w:t>has a Weighted Average Life to Maturity at the time such Refinancing Indebtedness is incurred which is not less than the remaining Weighted Average Life to Maturity of, the Indebtedness, Disqualified Stock or Preferred Stock being refunded or refinanced,</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20"/>
          </w:cols>
          <w:pgMar w:left="700" w:top="274" w:right="279" w:bottom="1440" w:gutter="0" w:footer="0" w:header="0"/>
        </w:sectPr>
      </w:pPr>
    </w:p>
    <w:bookmarkStart w:id="114" w:name="page115"/>
    <w:bookmarkEnd w:id="114"/>
    <w:p>
      <w:pPr>
        <w:ind w:left="460" w:right="60" w:firstLine="421"/>
        <w:spacing w:after="0" w:line="259" w:lineRule="auto"/>
        <w:tabs>
          <w:tab w:leader="none" w:pos="1165" w:val="left"/>
        </w:tabs>
        <w:numPr>
          <w:ilvl w:val="1"/>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such Refinancing Indebtedness refinances (i) Indebtedness subordinated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to the Notes or any Guarantee thereof, such Refinancing Indebtedness is subordinated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to the Notes or the Guarantee at least to the same extent as the Indebtedness being refinanced or refunded or (ii) Disqualified Stock or Preferred Stock, such Refinancing Indebtedness must be Disqualified Stock or Preferred Stock, respectively,</w:t>
      </w:r>
    </w:p>
    <w:p>
      <w:pPr>
        <w:spacing w:after="0" w:line="78" w:lineRule="exact"/>
        <w:rPr>
          <w:rFonts w:ascii="Arial" w:cs="Arial" w:eastAsia="Arial" w:hAnsi="Arial"/>
          <w:sz w:val="18"/>
          <w:szCs w:val="18"/>
          <w:color w:val="auto"/>
        </w:rPr>
      </w:pPr>
    </w:p>
    <w:p>
      <w:pPr>
        <w:ind w:left="460" w:firstLine="421"/>
        <w:spacing w:after="0" w:line="271" w:lineRule="auto"/>
        <w:tabs>
          <w:tab w:leader="none" w:pos="1165" w:val="left"/>
        </w:tabs>
        <w:numPr>
          <w:ilvl w:val="1"/>
          <w:numId w:val="178"/>
        </w:numPr>
        <w:rPr>
          <w:rFonts w:ascii="Arial" w:cs="Arial" w:eastAsia="Arial" w:hAnsi="Arial"/>
          <w:sz w:val="17"/>
          <w:szCs w:val="17"/>
          <w:color w:val="auto"/>
        </w:rPr>
      </w:pPr>
      <w:r>
        <w:rPr>
          <w:rFonts w:ascii="Arial" w:cs="Arial" w:eastAsia="Arial" w:hAnsi="Arial"/>
          <w:sz w:val="17"/>
          <w:szCs w:val="17"/>
          <w:color w:val="auto"/>
        </w:rPr>
        <w:t>in the case of any Refinancing Indebtedness in respect of Indebtedness under the Senior Credit Facilities, the Notes, the NXP Notes or the Existing Secured Notes, or Refinancing Indebtedness of any of the foregoing, such Refinancing Indebtedness shall not be required to be incurred substantially contemporaneously with the related refinancing of the Senior Credit Facilities, such Notes, NXP Notes or Existing Secured Note, or Refinancing Indebtedness of any of the foregoing, as applicable; provided that any portion of the net proceeds of such Refinancing Indebtedness that is not applied to the repayment or prepayment of the Senior Credit Facilities, such Notes, NXP Notes or Existing Secured Note, or Refinancing Indebtedness of any of the foregoing, as applicable, within 45 days following the incurrence of such Refinancing Indebtedness shall not constitute Refinancing Indebtedness in respect of the Senior Credit Facilities, such Notes, NXP Notes or Existing Secured Note, or Refinancing Indebtedness of any of the foregoing, as applicable, and</w:t>
      </w:r>
    </w:p>
    <w:p>
      <w:pPr>
        <w:spacing w:after="0" w:line="70" w:lineRule="exact"/>
        <w:rPr>
          <w:rFonts w:ascii="Arial" w:cs="Arial" w:eastAsia="Arial" w:hAnsi="Arial"/>
          <w:sz w:val="17"/>
          <w:szCs w:val="17"/>
          <w:color w:val="auto"/>
        </w:rPr>
      </w:pPr>
    </w:p>
    <w:p>
      <w:pPr>
        <w:ind w:left="1180" w:hanging="299"/>
        <w:spacing w:after="0"/>
        <w:tabs>
          <w:tab w:leader="none" w:pos="11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shall not include:</w:t>
      </w:r>
    </w:p>
    <w:p>
      <w:pPr>
        <w:spacing w:after="0" w:line="117" w:lineRule="exact"/>
        <w:rPr>
          <w:rFonts w:ascii="Arial" w:cs="Arial" w:eastAsia="Arial" w:hAnsi="Arial"/>
          <w:sz w:val="18"/>
          <w:szCs w:val="18"/>
          <w:color w:val="auto"/>
        </w:rPr>
      </w:pPr>
    </w:p>
    <w:p>
      <w:pPr>
        <w:ind w:left="1040" w:right="480" w:firstLine="389"/>
        <w:spacing w:after="0" w:line="308" w:lineRule="auto"/>
        <w:tabs>
          <w:tab w:leader="none" w:pos="1652" w:val="left"/>
        </w:tabs>
        <w:numPr>
          <w:ilvl w:val="2"/>
          <w:numId w:val="178"/>
        </w:numPr>
        <w:rPr>
          <w:rFonts w:ascii="Arial" w:cs="Arial" w:eastAsia="Arial" w:hAnsi="Arial"/>
          <w:sz w:val="17"/>
          <w:szCs w:val="17"/>
          <w:color w:val="auto"/>
        </w:rPr>
      </w:pPr>
      <w:r>
        <w:rPr>
          <w:rFonts w:ascii="Arial" w:cs="Arial" w:eastAsia="Arial" w:hAnsi="Arial"/>
          <w:sz w:val="17"/>
          <w:szCs w:val="17"/>
          <w:color w:val="auto"/>
        </w:rPr>
        <w:t>Indebtedness, Disqualified Stock or Preferred Stock of a Subsidiary of the Company that is not a Guarantor (other than the Issuer) that refinances Indebtedness, Disqualified Stock or Preferred Stock of the Company or the Issuer;</w:t>
      </w:r>
    </w:p>
    <w:p>
      <w:pPr>
        <w:spacing w:after="0" w:line="38" w:lineRule="exact"/>
        <w:rPr>
          <w:rFonts w:ascii="Arial" w:cs="Arial" w:eastAsia="Arial" w:hAnsi="Arial"/>
          <w:sz w:val="17"/>
          <w:szCs w:val="17"/>
          <w:color w:val="auto"/>
        </w:rPr>
      </w:pPr>
    </w:p>
    <w:p>
      <w:pPr>
        <w:ind w:left="1040" w:right="440" w:firstLine="389"/>
        <w:spacing w:after="0" w:line="308" w:lineRule="auto"/>
        <w:tabs>
          <w:tab w:leader="none" w:pos="1702" w:val="left"/>
        </w:tabs>
        <w:numPr>
          <w:ilvl w:val="2"/>
          <w:numId w:val="178"/>
        </w:numPr>
        <w:rPr>
          <w:rFonts w:ascii="Arial" w:cs="Arial" w:eastAsia="Arial" w:hAnsi="Arial"/>
          <w:sz w:val="17"/>
          <w:szCs w:val="17"/>
          <w:color w:val="auto"/>
        </w:rPr>
      </w:pPr>
      <w:r>
        <w:rPr>
          <w:rFonts w:ascii="Arial" w:cs="Arial" w:eastAsia="Arial" w:hAnsi="Arial"/>
          <w:sz w:val="17"/>
          <w:szCs w:val="17"/>
          <w:color w:val="auto"/>
        </w:rPr>
        <w:t>Indebtedness, Disqualified Stock or Preferred Stock of a Subsidiary of the Company that is not a Guarantor (other than the Issuer) that refinances Indebtedness, Disqualified Stock or Preferred Stock of a Guarantor or the Issuer; or</w:t>
      </w:r>
    </w:p>
    <w:p>
      <w:pPr>
        <w:spacing w:after="0" w:line="38" w:lineRule="exact"/>
        <w:rPr>
          <w:rFonts w:ascii="Arial" w:cs="Arial" w:eastAsia="Arial" w:hAnsi="Arial"/>
          <w:sz w:val="17"/>
          <w:szCs w:val="17"/>
          <w:color w:val="auto"/>
        </w:rPr>
      </w:pPr>
    </w:p>
    <w:p>
      <w:pPr>
        <w:ind w:left="1040" w:right="240" w:firstLine="389"/>
        <w:spacing w:after="0" w:line="277" w:lineRule="auto"/>
        <w:tabs>
          <w:tab w:leader="none" w:pos="1752" w:val="left"/>
        </w:tabs>
        <w:numPr>
          <w:ilvl w:val="2"/>
          <w:numId w:val="178"/>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the Company or a Restricted Subsidiary that refinances Indebtedness, Disqualified Stock or Preferred Stock of an Unrestricted Subsidiary;</w:t>
      </w:r>
    </w:p>
    <w:p>
      <w:pPr>
        <w:spacing w:after="0" w:line="62" w:lineRule="exact"/>
        <w:rPr>
          <w:rFonts w:ascii="Arial" w:cs="Arial" w:eastAsia="Arial" w:hAnsi="Arial"/>
          <w:sz w:val="18"/>
          <w:szCs w:val="18"/>
          <w:color w:val="auto"/>
        </w:rPr>
      </w:pPr>
    </w:p>
    <w:p>
      <w:pPr>
        <w:ind w:right="360" w:firstLine="443"/>
        <w:spacing w:after="0" w:line="259" w:lineRule="auto"/>
        <w:tabs>
          <w:tab w:leader="none" w:pos="78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Indebtedness, Disqualified Stock or Preferred Stock of (x) the Company or, subject to Section 4.09 (c) hereof, a Restricted Subsidiary incurred to finance an acquisition or (y) Persons that are acquired by the Company or any Restricted Subsidiary or merged or amalgamated into the Company or a Restricted Subsidiary in accordance with the terms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acquisition, merger or amalgamation either</w:t>
      </w:r>
    </w:p>
    <w:p>
      <w:pPr>
        <w:spacing w:after="0" w:line="78" w:lineRule="exact"/>
        <w:rPr>
          <w:rFonts w:ascii="Arial" w:cs="Arial" w:eastAsia="Arial" w:hAnsi="Arial"/>
          <w:sz w:val="18"/>
          <w:szCs w:val="18"/>
          <w:color w:val="auto"/>
        </w:rPr>
      </w:pPr>
    </w:p>
    <w:p>
      <w:pPr>
        <w:ind w:left="460" w:right="380" w:firstLine="421"/>
        <w:spacing w:after="0" w:line="277" w:lineRule="auto"/>
        <w:tabs>
          <w:tab w:leader="none" w:pos="117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Company would be permitted to incur at least $1.00 of additional Indebtedness pursuant to the Fixed Charge Coverage Test set forth in Section 4.09(a) hereof, or</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700" w:top="274" w:right="239" w:bottom="1440" w:gutter="0" w:footer="0" w:header="0"/>
        </w:sectPr>
      </w:pPr>
    </w:p>
    <w:bookmarkStart w:id="115" w:name="page116"/>
    <w:bookmarkEnd w:id="115"/>
    <w:p>
      <w:pPr>
        <w:ind w:left="900" w:right="120" w:firstLine="421"/>
        <w:spacing w:after="0" w:line="277" w:lineRule="auto"/>
        <w:tabs>
          <w:tab w:leader="none" w:pos="1605" w:val="left"/>
        </w:tabs>
        <w:numPr>
          <w:ilvl w:val="1"/>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Fixed Charge Coverage Ratio of the Company and the Restricted Subsidiaries is equal to or greater than immediately prior to such acquisition, merger or amalgamation;</w:t>
      </w:r>
    </w:p>
    <w:p>
      <w:pPr>
        <w:spacing w:after="0" w:line="62" w:lineRule="exact"/>
        <w:rPr>
          <w:rFonts w:ascii="Arial" w:cs="Arial" w:eastAsia="Arial" w:hAnsi="Arial"/>
          <w:sz w:val="18"/>
          <w:szCs w:val="18"/>
          <w:color w:val="auto"/>
        </w:rPr>
      </w:pPr>
    </w:p>
    <w:p>
      <w:pPr>
        <w:ind w:left="440" w:right="480" w:firstLine="443"/>
        <w:spacing w:after="0" w:line="342" w:lineRule="auto"/>
        <w:tabs>
          <w:tab w:leader="none" w:pos="122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Indebtedness arising from the honoring by a bank or other financial institution of a check, draft or similar instrument drawn against insufficient funds in the ordinary course of business, provided that such Indebtedness is extinguished within five Business Days of its incurrence;</w:t>
      </w:r>
    </w:p>
    <w:p>
      <w:pPr>
        <w:spacing w:after="0" w:line="15" w:lineRule="exact"/>
        <w:rPr>
          <w:rFonts w:ascii="Arial" w:cs="Arial" w:eastAsia="Arial" w:hAnsi="Arial"/>
          <w:sz w:val="16"/>
          <w:szCs w:val="16"/>
          <w:color w:val="auto"/>
        </w:rPr>
      </w:pPr>
    </w:p>
    <w:p>
      <w:pPr>
        <w:ind w:left="440" w:right="60" w:firstLine="443"/>
        <w:spacing w:after="0" w:line="277" w:lineRule="auto"/>
        <w:tabs>
          <w:tab w:leader="none" w:pos="122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Indebtedness of the Company or any of its Restricted Subsidiaries supported by a letter of credit issued pursuant to the Credit Facilities, in a principal amount not in excess of the stated amount of such letter of credit;</w:t>
      </w:r>
    </w:p>
    <w:p>
      <w:pPr>
        <w:spacing w:after="0" w:line="62" w:lineRule="exact"/>
        <w:rPr>
          <w:rFonts w:ascii="Arial" w:cs="Arial" w:eastAsia="Arial" w:hAnsi="Arial"/>
          <w:sz w:val="18"/>
          <w:szCs w:val="18"/>
          <w:color w:val="auto"/>
        </w:rPr>
      </w:pPr>
    </w:p>
    <w:p>
      <w:pPr>
        <w:ind w:left="440" w:right="180" w:firstLine="443"/>
        <w:spacing w:after="0" w:line="308" w:lineRule="auto"/>
        <w:tabs>
          <w:tab w:leader="none" w:pos="126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 any guarantee by the Company or a Restricted Subsidiary of Indebtedness or other obligations of any Restricted Subsidiary so long as the incurrence of such Indebtedness incurred by such Restricted Subsidiary is permitted under the terms of this Indenture, or</w:t>
      </w:r>
    </w:p>
    <w:p>
      <w:pPr>
        <w:spacing w:after="0" w:line="38" w:lineRule="exact"/>
        <w:rPr>
          <w:rFonts w:ascii="Arial" w:cs="Arial" w:eastAsia="Arial" w:hAnsi="Arial"/>
          <w:sz w:val="17"/>
          <w:szCs w:val="17"/>
          <w:color w:val="auto"/>
        </w:rPr>
      </w:pPr>
    </w:p>
    <w:p>
      <w:pPr>
        <w:ind w:left="440" w:right="340" w:firstLine="881"/>
        <w:spacing w:after="0" w:line="277" w:lineRule="auto"/>
        <w:tabs>
          <w:tab w:leader="none" w:pos="160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guarantee by a Restricted Subsidiary of Indebtedness of the Issuer; provided that such guarantee is incurred in accordance with Section 4.15 hereof;</w:t>
      </w:r>
    </w:p>
    <w:p>
      <w:pPr>
        <w:spacing w:after="0" w:line="62" w:lineRule="exact"/>
        <w:rPr>
          <w:rFonts w:ascii="Arial" w:cs="Arial" w:eastAsia="Arial" w:hAnsi="Arial"/>
          <w:sz w:val="18"/>
          <w:szCs w:val="18"/>
          <w:color w:val="auto"/>
        </w:rPr>
      </w:pPr>
    </w:p>
    <w:p>
      <w:pPr>
        <w:ind w:left="440" w:right="40" w:firstLine="443"/>
        <w:spacing w:after="0" w:line="312" w:lineRule="auto"/>
        <w:tabs>
          <w:tab w:leader="none" w:pos="122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Indebtedness consisting of Indebtedness issued by the Company or any of its Restricted Subsidiaries to current or former officers, directors and employees thereof, their respective estates, spouses or former spouses, in each case to finance the purchase or redemption of Equity Interests of the Company or any direct or indirect parent company of the Company to the extent described in clause (4) of Section 4.07(b) hereof.</w:t>
      </w:r>
    </w:p>
    <w:p>
      <w:pPr>
        <w:spacing w:after="0" w:line="38" w:lineRule="exact"/>
        <w:rPr>
          <w:rFonts w:ascii="Arial" w:cs="Arial" w:eastAsia="Arial" w:hAnsi="Arial"/>
          <w:sz w:val="16"/>
          <w:szCs w:val="16"/>
          <w:color w:val="auto"/>
        </w:rPr>
      </w:pPr>
    </w:p>
    <w:p>
      <w:pPr>
        <w:ind w:left="440" w:right="280" w:firstLine="443"/>
        <w:spacing w:after="0" w:line="277" w:lineRule="auto"/>
        <w:tabs>
          <w:tab w:leader="none" w:pos="122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purchased in the ordinary course of business;</w:t>
      </w:r>
    </w:p>
    <w:p>
      <w:pPr>
        <w:spacing w:after="0" w:line="62" w:lineRule="exact"/>
        <w:rPr>
          <w:rFonts w:ascii="Arial" w:cs="Arial" w:eastAsia="Arial" w:hAnsi="Arial"/>
          <w:sz w:val="18"/>
          <w:szCs w:val="18"/>
          <w:color w:val="auto"/>
        </w:rPr>
      </w:pPr>
    </w:p>
    <w:p>
      <w:pPr>
        <w:ind w:left="440" w:firstLine="443"/>
        <w:spacing w:after="0" w:line="264" w:lineRule="auto"/>
        <w:tabs>
          <w:tab w:leader="none" w:pos="122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Indebtedness owed on a short-term basis of no longer than 30 days to banks and other financial institutions incurred in the ordinary course of business of the Company and its Restricted Subsidiaries with such banks or financial institutions that arises in connection with ordinary banking arrangements to manage cash balances of the Company and its Restricted Subsidiaries;</w:t>
      </w:r>
    </w:p>
    <w:p>
      <w:pPr>
        <w:spacing w:after="0" w:line="73" w:lineRule="exact"/>
        <w:rPr>
          <w:rFonts w:ascii="Arial" w:cs="Arial" w:eastAsia="Arial" w:hAnsi="Arial"/>
          <w:sz w:val="18"/>
          <w:szCs w:val="18"/>
          <w:color w:val="auto"/>
        </w:rPr>
      </w:pPr>
    </w:p>
    <w:p>
      <w:pPr>
        <w:ind w:left="440" w:firstLine="443"/>
        <w:spacing w:after="0" w:line="264" w:lineRule="auto"/>
        <w:tabs>
          <w:tab w:leader="none" w:pos="122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recourse basis; and</w:t>
      </w:r>
    </w:p>
    <w:p>
      <w:pPr>
        <w:spacing w:after="0" w:line="73" w:lineRule="exact"/>
        <w:rPr>
          <w:rFonts w:ascii="Arial" w:cs="Arial" w:eastAsia="Arial" w:hAnsi="Arial"/>
          <w:sz w:val="18"/>
          <w:szCs w:val="18"/>
          <w:color w:val="auto"/>
        </w:rPr>
      </w:pPr>
    </w:p>
    <w:p>
      <w:pPr>
        <w:ind w:left="440" w:right="200" w:firstLine="443"/>
        <w:spacing w:after="0" w:line="277" w:lineRule="auto"/>
        <w:tabs>
          <w:tab w:leader="none" w:pos="122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Indebtedness of the Company or any of its Restricted Subsidiaries consisting of (i) the financing of insurance premiums or (ii) take-or-pay obligations contained in supply arrangements in each case, incurred in the ordinary course of business.</w:t>
      </w:r>
    </w:p>
    <w:p>
      <w:pPr>
        <w:spacing w:after="0" w:line="62" w:lineRule="exact"/>
        <w:rPr>
          <w:sz w:val="20"/>
          <w:szCs w:val="20"/>
          <w:color w:val="auto"/>
        </w:rPr>
      </w:pPr>
    </w:p>
    <w:p>
      <w:pPr>
        <w:ind w:left="-20" w:right="40" w:firstLine="921"/>
        <w:spacing w:after="0" w:line="257" w:lineRule="auto"/>
        <w:tabs>
          <w:tab w:leader="none" w:pos="113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Restricted Subsidiaries of the Company that are not Guarantors (other than the Issuer) may not incur Indebtedness or Disqualified Stock or Preferred Stock under Section 4.09(a) hereof or clause 12(b) or 14(x) of Section 4.09(b) hereof if,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incurrence or issuance (including a pro forma application of the net proceeds therefrom), the aggregate amount of Indebtedness and Disqualified Stock and Preferred Stock of Restricted Subsidiaries that are not Guarantors (other than the Issuer) incurred or issued pursuant to Section 4.09(a) hereof and clauses 12(b) and 14(x) of Section 4.09(b) hereof, collectively, would exceed $1,250.0 million.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60" w:top="274" w:right="259" w:bottom="1440" w:gutter="0" w:footer="0" w:header="0"/>
        </w:sectPr>
      </w:pPr>
    </w:p>
    <w:bookmarkStart w:id="116" w:name="page117"/>
    <w:bookmarkEnd w:id="11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For purposes of determining compliance with this Section 4.09:</w:t>
      </w:r>
    </w:p>
    <w:p>
      <w:pPr>
        <w:spacing w:after="0" w:line="117" w:lineRule="exact"/>
        <w:rPr>
          <w:sz w:val="20"/>
          <w:szCs w:val="20"/>
          <w:color w:val="auto"/>
        </w:rPr>
      </w:pPr>
    </w:p>
    <w:p>
      <w:pPr>
        <w:ind w:left="460" w:right="20" w:firstLine="443"/>
        <w:spacing w:after="0" w:line="293" w:lineRule="auto"/>
        <w:tabs>
          <w:tab w:leader="none" w:pos="1153"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in the event that an item of Indebtedness, Disqualified Stock or Preferred Stock (or any portion thereof) meets the criteria of more than one of the categories of Permitted Indebtedness, Disqualified Stock or Preferred Stock described in clauses (1) through (22) of Section 4.09(b) hereof or is entitled to be incurred pursuant to Section 4.09(a) hereof, the Company, in its sole discretion, will classify or reclassify such item of Indebtedness, Disqualified Stock or Preferred Stock (or any portion thereof) and will only be required to include the amount and type of such Indebtedness, Disqualified Stock or Preferred Stock in one of the above clauses or under Section 4.09 (a)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Indebtedness outstanding under the Senior Credit Facilities on the Merger Date will be treated as incurred on the Merger Date under clause (1) of Section 4.09(b) hereof; and</w:t>
      </w:r>
    </w:p>
    <w:p>
      <w:pPr>
        <w:spacing w:after="0" w:line="56" w:lineRule="exact"/>
        <w:rPr>
          <w:rFonts w:ascii="Arial" w:cs="Arial" w:eastAsia="Arial" w:hAnsi="Arial"/>
          <w:sz w:val="16"/>
          <w:szCs w:val="16"/>
          <w:color w:val="auto"/>
        </w:rPr>
      </w:pPr>
    </w:p>
    <w:p>
      <w:pPr>
        <w:ind w:left="460" w:right="620" w:firstLine="443"/>
        <w:spacing w:after="0" w:line="277" w:lineRule="auto"/>
        <w:tabs>
          <w:tab w:leader="none" w:pos="115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at the time of incurrence, the Company will be entitled to divide and classify an item of Indebtedness in more than one of the types of Indebtedness described in Section 4.09(a) and Section 4.09(b) hereof.</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Accrual of interest or dividends, the accretion of accreted value, the accretion or amortization of original issue discount and the payment of interest or dividends in the form of additional Indebtedness, Disqualified Stock or Preferred Stock, as the case may be, of the same class will not be deemed to be an incurrence of Indebtedness, Disqualified Stock or Preferred Stock for purposes of this Section 4.09.</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incurred to refinance other Indebtedness denominated in a foreign currency, and such refinancing would cause the applicable U.S. dollar 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w:t>
      </w:r>
    </w:p>
    <w:p>
      <w:pPr>
        <w:spacing w:after="0" w:line="189"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Notwithstanding anything to the contrary, the Company shall not, and shall not permit any Guarantor or the Issuer to, directly or indirectly, incur any Indebtedness (including Acquired Indebtedness) that is subordinated or junior in right of payment to any Indebtedness of the Company, such Guarantor or the Issuer, as the case may be, unless such Indebtedness is expressly subordinated in right of payment to the Notes or the Company’s or such Guarantor’s Guarantee to the extent and in the same manner as such Indebtedness is subordinated to other Indebtedness of the Company, such Guarantor or the Issuer, as the case may be. For the purposes of this Indenture, Indebtedness that is unsecured is not deemed to be subordinated or junior to Secured Indebtedness merely because it is unsecured, and Senior Indebtedness is not deemed to be subordinated or junior to any other Senior Indebtedness merely because it has a junior priority with respect to the same collateral.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74" w:right="259" w:bottom="1440" w:gutter="0" w:footer="0" w:header="0"/>
        </w:sectPr>
      </w:pPr>
    </w:p>
    <w:bookmarkStart w:id="117" w:name="page118"/>
    <w:bookmarkEnd w:id="11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4.10. </w:t>
      </w:r>
      <w:r>
        <w:rPr>
          <w:rFonts w:ascii="Arial" w:cs="Arial" w:eastAsia="Arial" w:hAnsi="Arial"/>
          <w:sz w:val="18"/>
          <w:szCs w:val="18"/>
          <w:u w:val="single" w:color="auto"/>
          <w:color w:val="auto"/>
        </w:rPr>
        <w:t>Asset Sales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The Company shall not, and shall not permit any of its Restricted Subsidiaries to, cause, make or suffer to exist an Asset Sale, unless:</w:t>
      </w:r>
    </w:p>
    <w:p>
      <w:pPr>
        <w:spacing w:after="0" w:line="128" w:lineRule="exact"/>
        <w:rPr>
          <w:rFonts w:ascii="Arial" w:cs="Arial" w:eastAsia="Arial" w:hAnsi="Arial"/>
          <w:sz w:val="17"/>
          <w:szCs w:val="17"/>
          <w:color w:val="auto"/>
        </w:rPr>
      </w:pPr>
    </w:p>
    <w:p>
      <w:pPr>
        <w:ind w:left="460" w:right="120" w:firstLine="443"/>
        <w:spacing w:after="0" w:line="277" w:lineRule="auto"/>
        <w:tabs>
          <w:tab w:leader="none" w:pos="115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or such Restricted Subsidiary, as the case may be, receives consideration at the time of such Asset Sale at least equal to the fair market value of the assets sold or otherwise disposed of; and</w:t>
      </w:r>
    </w:p>
    <w:p>
      <w:pPr>
        <w:spacing w:after="0" w:line="62" w:lineRule="exact"/>
        <w:rPr>
          <w:rFonts w:ascii="Arial" w:cs="Arial" w:eastAsia="Arial" w:hAnsi="Arial"/>
          <w:sz w:val="18"/>
          <w:szCs w:val="18"/>
          <w:color w:val="auto"/>
        </w:rPr>
      </w:pPr>
    </w:p>
    <w:p>
      <w:pPr>
        <w:ind w:left="460" w:right="740" w:firstLine="443"/>
        <w:spacing w:after="0" w:line="277" w:lineRule="auto"/>
        <w:tabs>
          <w:tab w:leader="none" w:pos="115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except in the case of a Permitted Asset Swap, at least 75% of the consideration therefor received by the Company or such Restricted Subsidiary, as the case may be, is in the form of cash or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w:t>
      </w:r>
    </w:p>
    <w:p>
      <w:pPr>
        <w:spacing w:after="0" w:line="62" w:lineRule="exact"/>
        <w:rPr>
          <w:rFonts w:ascii="Arial" w:cs="Arial" w:eastAsia="Arial" w:hAnsi="Arial"/>
          <w:sz w:val="18"/>
          <w:szCs w:val="18"/>
          <w:color w:val="auto"/>
        </w:rPr>
      </w:pPr>
    </w:p>
    <w:p>
      <w:pPr>
        <w:jc w:val="both"/>
        <w:ind w:left="920" w:right="80" w:firstLine="421"/>
        <w:spacing w:after="0" w:line="312" w:lineRule="auto"/>
        <w:tabs>
          <w:tab w:leader="none" w:pos="1635" w:val="left"/>
        </w:tabs>
        <w:numPr>
          <w:ilvl w:val="2"/>
          <w:numId w:val="185"/>
        </w:numPr>
        <w:rPr>
          <w:rFonts w:ascii="Arial" w:cs="Arial" w:eastAsia="Arial" w:hAnsi="Arial"/>
          <w:sz w:val="16"/>
          <w:szCs w:val="16"/>
          <w:color w:val="auto"/>
        </w:rPr>
      </w:pPr>
      <w:r>
        <w:rPr>
          <w:rFonts w:ascii="Arial" w:cs="Arial" w:eastAsia="Arial" w:hAnsi="Arial"/>
          <w:sz w:val="16"/>
          <w:szCs w:val="16"/>
          <w:color w:val="auto"/>
        </w:rPr>
        <w:t>any liabilities (as shown on the Company’s or such Restricted Subsidiary’s most recent balance sheet or in the footnotes thereto) of the Company or such Restricted Subsidiary, other than liabilities that are by their terms subordinated to the Notes, that are assumed by the transferee of any such assets and for which the Company and all of its Restricted Subsidiaries have been validly released by all creditors in writing,</w:t>
      </w:r>
    </w:p>
    <w:p>
      <w:pPr>
        <w:spacing w:after="0" w:line="38" w:lineRule="exact"/>
        <w:rPr>
          <w:rFonts w:ascii="Arial" w:cs="Arial" w:eastAsia="Arial" w:hAnsi="Arial"/>
          <w:sz w:val="16"/>
          <w:szCs w:val="16"/>
          <w:color w:val="auto"/>
        </w:rPr>
      </w:pPr>
    </w:p>
    <w:p>
      <w:pPr>
        <w:ind w:left="920" w:right="100" w:firstLine="421"/>
        <w:spacing w:after="0" w:line="308" w:lineRule="auto"/>
        <w:tabs>
          <w:tab w:leader="none" w:pos="1625" w:val="left"/>
        </w:tabs>
        <w:numPr>
          <w:ilvl w:val="2"/>
          <w:numId w:val="185"/>
        </w:numPr>
        <w:rPr>
          <w:rFonts w:ascii="Arial" w:cs="Arial" w:eastAsia="Arial" w:hAnsi="Arial"/>
          <w:sz w:val="17"/>
          <w:szCs w:val="17"/>
          <w:color w:val="auto"/>
        </w:rPr>
      </w:pPr>
      <w:r>
        <w:rPr>
          <w:rFonts w:ascii="Arial" w:cs="Arial" w:eastAsia="Arial" w:hAnsi="Arial"/>
          <w:sz w:val="17"/>
          <w:szCs w:val="17"/>
          <w:color w:val="auto"/>
        </w:rPr>
        <w:t>any securities received by the Company or such Restricted Subsidiary from such transferee that are converted by the Company or such Restricted Subsidiary into cash (to the extent of the cash received) within 180 days following the closing of such Asset Sale, and</w:t>
      </w:r>
    </w:p>
    <w:p>
      <w:pPr>
        <w:spacing w:after="0" w:line="38" w:lineRule="exact"/>
        <w:rPr>
          <w:rFonts w:ascii="Arial" w:cs="Arial" w:eastAsia="Arial" w:hAnsi="Arial"/>
          <w:sz w:val="17"/>
          <w:szCs w:val="17"/>
          <w:color w:val="auto"/>
        </w:rPr>
      </w:pPr>
    </w:p>
    <w:p>
      <w:pPr>
        <w:ind w:left="920" w:firstLine="421"/>
        <w:spacing w:after="0" w:line="257" w:lineRule="auto"/>
        <w:tabs>
          <w:tab w:leader="none" w:pos="1625" w:val="left"/>
        </w:tabs>
        <w:numPr>
          <w:ilvl w:val="2"/>
          <w:numId w:val="185"/>
        </w:numPr>
        <w:rPr>
          <w:rFonts w:ascii="Arial" w:cs="Arial" w:eastAsia="Arial" w:hAnsi="Arial"/>
          <w:sz w:val="18"/>
          <w:szCs w:val="18"/>
          <w:color w:val="auto"/>
        </w:rPr>
      </w:pPr>
      <w:r>
        <w:rPr>
          <w:rFonts w:ascii="Arial" w:cs="Arial" w:eastAsia="Arial" w:hAnsi="Arial"/>
          <w:sz w:val="18"/>
          <w:szCs w:val="18"/>
          <w:color w:val="auto"/>
        </w:rPr>
        <w:t>any Designated Non-cash Consideration received by the Company or such Restricted Subsidiary in such Asset Sale having an aggregate fair market value, taken together with all other Designated Non-cash Consideration received pursuant to this clause (c) that is at that time outstanding, not to exceed 2.5% of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shall be deemed to be cash for purposes of this provision and for no other purpose.</w:t>
      </w:r>
    </w:p>
    <w:p>
      <w:pPr>
        <w:spacing w:after="0" w:line="117" w:lineRule="exact"/>
        <w:rPr>
          <w:sz w:val="20"/>
          <w:szCs w:val="20"/>
          <w:color w:val="auto"/>
        </w:rPr>
      </w:pPr>
    </w:p>
    <w:p>
      <w:pPr>
        <w:ind w:right="100" w:firstLine="921"/>
        <w:spacing w:after="0" w:line="277" w:lineRule="auto"/>
        <w:tabs>
          <w:tab w:leader="none" w:pos="116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Within 450 days after the receipt of any Net Proceeds of any Asset Sale, the Company or such Restricted Subsidiary, at its option, may apply the Net Proceeds from such Asset Sale,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permanently reduce:</w:t>
      </w:r>
    </w:p>
    <w:p>
      <w:pPr>
        <w:spacing w:after="0" w:line="117" w:lineRule="exact"/>
        <w:rPr>
          <w:rFonts w:ascii="Arial" w:cs="Arial" w:eastAsia="Arial" w:hAnsi="Arial"/>
          <w:sz w:val="18"/>
          <w:szCs w:val="18"/>
          <w:color w:val="auto"/>
        </w:rPr>
      </w:pPr>
    </w:p>
    <w:p>
      <w:pPr>
        <w:ind w:left="920" w:right="1200" w:firstLine="421"/>
        <w:spacing w:after="0" w:line="277" w:lineRule="auto"/>
        <w:tabs>
          <w:tab w:leader="none" w:pos="1635" w:val="left"/>
        </w:tabs>
        <w:numPr>
          <w:ilvl w:val="2"/>
          <w:numId w:val="187"/>
        </w:numPr>
        <w:rPr>
          <w:rFonts w:ascii="Arial" w:cs="Arial" w:eastAsia="Arial" w:hAnsi="Arial"/>
          <w:sz w:val="18"/>
          <w:szCs w:val="18"/>
          <w:color w:val="auto"/>
        </w:rPr>
      </w:pPr>
      <w:r>
        <w:rPr>
          <w:rFonts w:ascii="Arial" w:cs="Arial" w:eastAsia="Arial" w:hAnsi="Arial"/>
          <w:sz w:val="18"/>
          <w:szCs w:val="18"/>
          <w:color w:val="auto"/>
        </w:rPr>
        <w:t>First Lien Obligations (including Obligations under the Senior Credit Facilities and the Existing Secured Notes), and to correspondingly reduce commitments with respect thereto;</w:t>
      </w:r>
    </w:p>
    <w:p>
      <w:pPr>
        <w:spacing w:after="0" w:line="62" w:lineRule="exact"/>
        <w:rPr>
          <w:rFonts w:ascii="Arial" w:cs="Arial" w:eastAsia="Arial" w:hAnsi="Arial"/>
          <w:sz w:val="18"/>
          <w:szCs w:val="18"/>
          <w:color w:val="auto"/>
        </w:rPr>
      </w:pPr>
    </w:p>
    <w:p>
      <w:pPr>
        <w:ind w:left="920" w:right="380" w:firstLine="421"/>
        <w:spacing w:after="0" w:line="277" w:lineRule="auto"/>
        <w:tabs>
          <w:tab w:leader="none" w:pos="1625" w:val="left"/>
        </w:tabs>
        <w:numPr>
          <w:ilvl w:val="2"/>
          <w:numId w:val="187"/>
        </w:numPr>
        <w:rPr>
          <w:rFonts w:ascii="Arial" w:cs="Arial" w:eastAsia="Arial" w:hAnsi="Arial"/>
          <w:sz w:val="18"/>
          <w:szCs w:val="18"/>
          <w:color w:val="auto"/>
        </w:rPr>
      </w:pPr>
      <w:r>
        <w:rPr>
          <w:rFonts w:ascii="Arial" w:cs="Arial" w:eastAsia="Arial" w:hAnsi="Arial"/>
          <w:sz w:val="18"/>
          <w:szCs w:val="18"/>
          <w:color w:val="auto"/>
        </w:rPr>
        <w:t>Obligations under Senior Indebtedness that is secured by a Lien, which Lien is permitted by this Indenture, and to correspondingly reduce commitments with respect thereto; or</w:t>
      </w:r>
    </w:p>
    <w:p>
      <w:pPr>
        <w:spacing w:after="0" w:line="62" w:lineRule="exact"/>
        <w:rPr>
          <w:rFonts w:ascii="Arial" w:cs="Arial" w:eastAsia="Arial" w:hAnsi="Arial"/>
          <w:sz w:val="18"/>
          <w:szCs w:val="18"/>
          <w:color w:val="auto"/>
        </w:rPr>
      </w:pPr>
    </w:p>
    <w:p>
      <w:pPr>
        <w:ind w:left="920" w:right="320" w:firstLine="421"/>
        <w:spacing w:after="0" w:line="277" w:lineRule="auto"/>
        <w:tabs>
          <w:tab w:leader="none" w:pos="1625" w:val="left"/>
        </w:tabs>
        <w:numPr>
          <w:ilvl w:val="2"/>
          <w:numId w:val="187"/>
        </w:numPr>
        <w:rPr>
          <w:rFonts w:ascii="Arial" w:cs="Arial" w:eastAsia="Arial" w:hAnsi="Arial"/>
          <w:sz w:val="18"/>
          <w:szCs w:val="18"/>
          <w:color w:val="auto"/>
        </w:rPr>
      </w:pPr>
      <w:r>
        <w:rPr>
          <w:rFonts w:ascii="Arial" w:cs="Arial" w:eastAsia="Arial" w:hAnsi="Arial"/>
          <w:sz w:val="18"/>
          <w:szCs w:val="18"/>
          <w:color w:val="auto"/>
        </w:rPr>
        <w:t>Indebtedness of a Restricted Subsidiary that is not a Guarantor, other than Indebtedness owed to the Company or another Restricted Subsidiary;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118" w:name="page119"/>
    <w:bookmarkEnd w:id="118"/>
    <w:p>
      <w:pPr>
        <w:ind w:left="460" w:right="120" w:firstLine="443"/>
        <w:spacing w:after="0" w:line="259" w:lineRule="auto"/>
        <w:tabs>
          <w:tab w:leader="none" w:pos="1153"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make (a) an Investment in any one or more businesses,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 in any business is in the form of the acquisition of Capital Stock and results in the Company or another of its Restricted Subsidiaries, as the case may be, owning an amount of the Capital Stock of such business such that it constitutes a Restricted Subsidiary, (b) capital expenditures or (c) acquisitions of other assets, in each of (a), (b) and (c), used or useful in a Similar Business, or</w:t>
      </w:r>
    </w:p>
    <w:p>
      <w:pPr>
        <w:spacing w:after="0" w:line="78" w:lineRule="exact"/>
        <w:rPr>
          <w:rFonts w:ascii="Arial" w:cs="Arial" w:eastAsia="Arial" w:hAnsi="Arial"/>
          <w:sz w:val="18"/>
          <w:szCs w:val="18"/>
          <w:color w:val="auto"/>
        </w:rPr>
      </w:pPr>
    </w:p>
    <w:p>
      <w:pPr>
        <w:ind w:left="460" w:right="120" w:firstLine="443"/>
        <w:spacing w:after="0" w:line="259" w:lineRule="auto"/>
        <w:tabs>
          <w:tab w:leader="none" w:pos="115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to make an investment in (a) any one or more businesses,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 in any business is in the form of the acquisition of Capital Stock and results in the Company or another of its Restricted Subsidiaries, as the case may be, owning an amount of the Capital Stock of such business such that it constitutes a Restricted Subsidiary, (b) properties or (c) acquisitions of other assets that, in each of (a), (b) and (c), replace the businesses, properties and/or assets that are the subject of such Asset Sale;</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clauses (2) and (3) above, a binding commitment shall be treated as a permitted application of the Net Proceeds from the date of such commitment so long as the Company or such other Restricted Subsidiary enters into such commitment with the good faith expectation that such Net Proceeds will be applied to satisfy such commitment within 180 days of such commitment (an “</w:t>
      </w:r>
      <w:r>
        <w:rPr>
          <w:rFonts w:ascii="Arial" w:cs="Arial" w:eastAsia="Arial" w:hAnsi="Arial"/>
          <w:sz w:val="18"/>
          <w:szCs w:val="18"/>
          <w:u w:val="single" w:color="auto"/>
          <w:color w:val="auto"/>
        </w:rPr>
        <w:t>Acceptable Commitment</w:t>
      </w:r>
      <w:r>
        <w:rPr>
          <w:rFonts w:ascii="Arial" w:cs="Arial" w:eastAsia="Arial" w:hAnsi="Arial"/>
          <w:sz w:val="18"/>
          <w:szCs w:val="18"/>
          <w:color w:val="auto"/>
        </w:rPr>
        <w:t>”) and, in the event any Acceptable Commitment is later cancelled or terminated for any reason before the Net Proceeds are applied in connection therewith, the Company or such Restricted Subsidiary enters into another Acceptable Commitment (a “</w:t>
      </w:r>
      <w:r>
        <w:rPr>
          <w:rFonts w:ascii="Arial" w:cs="Arial" w:eastAsia="Arial" w:hAnsi="Arial"/>
          <w:sz w:val="18"/>
          <w:szCs w:val="18"/>
          <w:u w:val="single" w:color="auto"/>
          <w:color w:val="auto"/>
        </w:rPr>
        <w:t>Second Commitment</w:t>
      </w:r>
      <w:r>
        <w:rPr>
          <w:rFonts w:ascii="Arial" w:cs="Arial" w:eastAsia="Arial" w:hAnsi="Arial"/>
          <w:sz w:val="18"/>
          <w:szCs w:val="18"/>
          <w:color w:val="auto"/>
        </w:rPr>
        <w:t xml:space="preserve">”) within 180 days of such cancellation or termination;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any Second Commitment is later cancelled or terminated for any reason before such Net Proceeds are applied, then such Net Proceeds shall constitute Excess Proceeds.</w:t>
      </w:r>
    </w:p>
    <w:p>
      <w:pPr>
        <w:spacing w:after="0" w:line="81" w:lineRule="exact"/>
        <w:rPr>
          <w:sz w:val="20"/>
          <w:szCs w:val="20"/>
          <w:color w:val="auto"/>
        </w:rPr>
      </w:pPr>
    </w:p>
    <w:p>
      <w:pPr>
        <w:ind w:firstLine="921"/>
        <w:spacing w:after="0" w:line="288" w:lineRule="auto"/>
        <w:tabs>
          <w:tab w:leader="none" w:pos="115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Net Proceeds from the Asset Sale that are not invested or applied as provided and within the time period set forth in Section 4.10(b) hereof will be deemed to constitute “</w:t>
      </w:r>
      <w:r>
        <w:rPr>
          <w:rFonts w:ascii="Arial" w:cs="Arial" w:eastAsia="Arial" w:hAnsi="Arial"/>
          <w:sz w:val="16"/>
          <w:szCs w:val="16"/>
          <w:u w:val="single" w:color="auto"/>
          <w:color w:val="auto"/>
        </w:rPr>
        <w:t>Excess Proceeds</w:t>
      </w:r>
      <w:r>
        <w:rPr>
          <w:rFonts w:ascii="Arial" w:cs="Arial" w:eastAsia="Arial" w:hAnsi="Arial"/>
          <w:sz w:val="16"/>
          <w:szCs w:val="16"/>
          <w:color w:val="auto"/>
        </w:rPr>
        <w:t>.” When the aggregate amount of Excess Proceeds exceeds $100.0 million, the Issuer shall make an offer to all Holders of the Notes and, if required by the terms of any other Indebtedness constituting First Lien Obligations, to the holders of such other First Lien Obligations (an “</w:t>
      </w:r>
      <w:r>
        <w:rPr>
          <w:rFonts w:ascii="Arial" w:cs="Arial" w:eastAsia="Arial" w:hAnsi="Arial"/>
          <w:sz w:val="16"/>
          <w:szCs w:val="16"/>
          <w:u w:val="single" w:color="auto"/>
          <w:color w:val="auto"/>
        </w:rPr>
        <w:t>Asset Sale Offer</w:t>
      </w:r>
      <w:r>
        <w:rPr>
          <w:rFonts w:ascii="Arial" w:cs="Arial" w:eastAsia="Arial" w:hAnsi="Arial"/>
          <w:sz w:val="16"/>
          <w:szCs w:val="16"/>
          <w:color w:val="auto"/>
        </w:rPr>
        <w:t>”), to purchase the maximum aggregate principal amount of the Notes and such other First Lien Obligations that is at least $2,000 or an integral multiple of $1,000 thereafter that may be purchased out of the Excess Proceeds at an offer price in cash in an amount equal to 100% of the principal amount thereof (or accreted value, if less), plus accrued and unpaid interest, if any, to the date fixed for the closing of such offer, in accordance with the procedures set forth in this Indenture. The Issuer will commence an Asset Sale Offer with respect to Excess Proceeds within ten Business Days after the date that Excess Proceeds exceed $100.0 million by mailing the notice required pursuant to the terms of this Indenture, with a copy to the Trustee. The Issuer may satisfy the foregoing obligations with respect to any Net Proceeds from an Asset Sale by making an Asset Sale Offer with respect to such Net Proceeds prior to the expiration of the relevant 450 days or with respect to Excess Proceeds of $100.0 million or less.</w:t>
      </w:r>
    </w:p>
    <w:p>
      <w:pPr>
        <w:spacing w:after="0" w:line="169"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To the extent that the aggregate amount of Notes and such other First Lien Obligations tendered pursuant to an Asset Sale Offer is less than the Excess Proceeds, the Issuer may use any remaining Excess Proceeds for general corporate purposes, subject to other covenants contained in this Indenture. If the aggregate principal amount of Notes or the other First Lien Obligations surrendered by such holders thereof exceeds the amount of Excess Proceeds, the Trustee shall select the Notes and such other First Lien Obligations to be purchased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based on the accreted value or principal amount of the Notes or such other First Lien Obligations tendered. Upon completion of any such Asset Sale Offer, the amount of Excess Proceeds that resulted in the Asset Sale Offer shall be reset to zero.</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4" w:right="279" w:bottom="1440" w:gutter="0" w:footer="0" w:header="0"/>
        </w:sectPr>
      </w:pPr>
    </w:p>
    <w:bookmarkStart w:id="119" w:name="page120"/>
    <w:bookmarkEnd w:id="119"/>
    <w:p>
      <w:pPr>
        <w:ind w:firstLine="921"/>
        <w:spacing w:after="0" w:line="264" w:lineRule="auto"/>
        <w:tabs>
          <w:tab w:leader="none" w:pos="1168"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Pending the final application of any Net Proceeds pursuant to this Section 4.10, the holder of such Net Proceeds may apply such Net Proceeds temporarily to reduce Indebtedness outstanding under a revolving credit facility or otherwise invest such Net Proceeds in any manner not prohibited by this Indenture.</w:t>
      </w:r>
    </w:p>
    <w:p>
      <w:pPr>
        <w:spacing w:after="0" w:line="73" w:lineRule="exact"/>
        <w:rPr>
          <w:rFonts w:ascii="Arial" w:cs="Arial" w:eastAsia="Arial" w:hAnsi="Arial"/>
          <w:sz w:val="18"/>
          <w:szCs w:val="18"/>
          <w:color w:val="auto"/>
        </w:rPr>
      </w:pPr>
    </w:p>
    <w:p>
      <w:pPr>
        <w:ind w:right="60" w:firstLine="921"/>
        <w:spacing w:after="0" w:line="279" w:lineRule="auto"/>
        <w:tabs>
          <w:tab w:leader="none" w:pos="115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Issuer will comply with the requirements of Rule 14e-1 under the Exchange Act and any other securities laws and regulations thereunder to the extent such laws or regulations are applicable in connection with the repurchase of the Notes pursuant to an Asset Sale Offer. To the extent that the provisions of any securities laws or regulations conflict with the provisions of this Indenture, the Issuer will comply with the applicable securities laws and regulations and shall not be deemed to have breached its obligations described in this Indenture by virtue thereof.</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(a) 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of the foregoing, an “</w:t>
      </w:r>
      <w:r>
        <w:rPr>
          <w:rFonts w:ascii="Arial" w:cs="Arial" w:eastAsia="Arial" w:hAnsi="Arial"/>
          <w:sz w:val="17"/>
          <w:szCs w:val="17"/>
          <w:u w:val="single" w:color="auto"/>
          <w:color w:val="auto"/>
        </w:rPr>
        <w:t>Affiliate Transaction</w:t>
      </w:r>
      <w:r>
        <w:rPr>
          <w:rFonts w:ascii="Arial" w:cs="Arial" w:eastAsia="Arial" w:hAnsi="Arial"/>
          <w:sz w:val="17"/>
          <w:szCs w:val="17"/>
          <w:color w:val="auto"/>
        </w:rPr>
        <w:t>”) involving aggregate payments or consideration in excess of $25.0 million, unless:</w:t>
      </w:r>
    </w:p>
    <w:p>
      <w:pPr>
        <w:spacing w:after="0" w:line="63" w:lineRule="exact"/>
        <w:rPr>
          <w:sz w:val="20"/>
          <w:szCs w:val="20"/>
          <w:color w:val="auto"/>
        </w:rPr>
      </w:pPr>
    </w:p>
    <w:p>
      <w:pPr>
        <w:ind w:left="460" w:right="80" w:firstLine="443"/>
        <w:spacing w:after="0" w:line="264" w:lineRule="auto"/>
        <w:tabs>
          <w:tab w:leader="none" w:pos="115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such Affiliate Transaction is on terms that are not materially less favorable to the Company or its relevant Restricted Subsidiary than those that would have been obtained in a comparable transaction by the Company or such Restricted Subsidiary with an unrelated Person on an arm’s-length basis; and</w:t>
      </w:r>
    </w:p>
    <w:p>
      <w:pPr>
        <w:spacing w:after="0" w:line="73" w:lineRule="exact"/>
        <w:rPr>
          <w:rFonts w:ascii="Arial" w:cs="Arial" w:eastAsia="Arial" w:hAnsi="Arial"/>
          <w:sz w:val="18"/>
          <w:szCs w:val="18"/>
          <w:color w:val="auto"/>
        </w:rPr>
      </w:pPr>
    </w:p>
    <w:p>
      <w:pPr>
        <w:ind w:left="460" w:right="140" w:firstLine="443"/>
        <w:spacing w:after="0" w:line="312" w:lineRule="auto"/>
        <w:tabs>
          <w:tab w:leader="none" w:pos="115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Issuer delivers to the Trustee with respect to any Affiliate Transaction or series of related Affiliate Transactions involving aggregate payments or consideration in excess of $60.0 million, a resolution adopted by the majority of the board of directors of the Issuer approving such Affiliate Transaction and set forth in an Officer’s Certificate certifying that such Affiliate Transaction complies with clause (1) of this Section 4.11(a).</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The provisions of Section 4.11(a) will not apply to the following:</w:t>
      </w:r>
    </w:p>
    <w:p>
      <w:pPr>
        <w:spacing w:after="0" w:line="117" w:lineRule="exact"/>
        <w:rPr>
          <w:sz w:val="20"/>
          <w:szCs w:val="20"/>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transactions between or among the Company or any of its Restricted Subsidiaries;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Restricted Payments permitted by Section 4.07 hereof and the definition of “Permitted Investments”;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460" w:right="500" w:firstLine="443"/>
        <w:spacing w:after="0" w:line="308" w:lineRule="auto"/>
        <w:tabs>
          <w:tab w:leader="none" w:pos="115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payment of reasonable and customary fees paid to, and indemnities provided for the benefit of, current or former officers, directors, employees or consultants of the Company, any of its direct or indirect parent companies or any of its Restricted Subsidiaries;</w:t>
      </w:r>
    </w:p>
    <w:p>
      <w:pPr>
        <w:spacing w:after="0" w:line="38" w:lineRule="exact"/>
        <w:rPr>
          <w:rFonts w:ascii="Arial" w:cs="Arial" w:eastAsia="Arial" w:hAnsi="Arial"/>
          <w:sz w:val="17"/>
          <w:szCs w:val="17"/>
          <w:color w:val="auto"/>
        </w:rPr>
      </w:pPr>
    </w:p>
    <w:p>
      <w:pPr>
        <w:ind w:left="460" w:right="40" w:firstLine="443"/>
        <w:spacing w:after="0" w:line="279" w:lineRule="auto"/>
        <w:tabs>
          <w:tab w:leader="none" w:pos="115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transactions in which the Company or any of its Restricted Subsidiaries, as the case may be, delivers to the Trustee a letter from an Independent Financial Advisor stating that such transaction is fair to the Company or such Restricted Subsidiary from a financial point of view or stating that the terms are not materially less favorable to the Company or its relevant Restricted Subsidiary than those that would have been obtained in a comparable transaction by the Company or such Restricted Subsidiary with an unrelated Person on an arm’s-length basis;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120" w:name="page121"/>
    <w:bookmarkEnd w:id="120"/>
    <w:p>
      <w:pPr>
        <w:ind w:right="260" w:firstLine="443"/>
        <w:spacing w:after="0" w:line="277" w:lineRule="auto"/>
        <w:tabs>
          <w:tab w:leader="none" w:pos="693"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agreement as in effect as of the Merger Date, or any amendment thereto (so long as any such amendment is not disadvantageous to the Holders when taken as a whole as compared to the applicable agreement as in effect on the Merger Date);</w:t>
      </w:r>
    </w:p>
    <w:p>
      <w:pPr>
        <w:spacing w:after="0" w:line="62" w:lineRule="exact"/>
        <w:rPr>
          <w:rFonts w:ascii="Arial" w:cs="Arial" w:eastAsia="Arial" w:hAnsi="Arial"/>
          <w:sz w:val="18"/>
          <w:szCs w:val="18"/>
          <w:color w:val="auto"/>
        </w:rPr>
      </w:pPr>
    </w:p>
    <w:p>
      <w:pPr>
        <w:ind w:right="20" w:firstLine="443"/>
        <w:spacing w:after="0" w:line="255" w:lineRule="auto"/>
        <w:tabs>
          <w:tab w:leader="none" w:pos="69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existence of, or the performance by the Company or any of its Restricted Subsidiaries of its obligations under the terms of, any stockholders agreement (including any registration rights agreement or purchase agreement related thereto) to which it is a party as of the Issue Date and any similar agreements which it may enter into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existence of, or the performance by the Company or any of its Restricted Subsidiaries of obligations under any future amendment to any such existing agreement or under any similar agreement entered into after the Issue Date shall only be permitted by this clause (7) to the extent that the terms of any such amendment or new agreement are not otherwise disadvantageous to the Holders when taken as a whole;</w:t>
      </w:r>
    </w:p>
    <w:p>
      <w:pPr>
        <w:spacing w:after="0" w:line="85" w:lineRule="exact"/>
        <w:rPr>
          <w:rFonts w:ascii="Arial" w:cs="Arial" w:eastAsia="Arial" w:hAnsi="Arial"/>
          <w:sz w:val="18"/>
          <w:szCs w:val="18"/>
          <w:color w:val="auto"/>
        </w:rPr>
      </w:pPr>
    </w:p>
    <w:p>
      <w:pPr>
        <w:ind w:left="700" w:hanging="257"/>
        <w:spacing w:after="0"/>
        <w:tabs>
          <w:tab w:leader="none" w:pos="7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Transaction, the Merger and the payment of all fees and expenses related to the Transaction or the Merger;</w:t>
      </w:r>
    </w:p>
    <w:p>
      <w:pPr>
        <w:spacing w:after="0" w:line="117" w:lineRule="exact"/>
        <w:rPr>
          <w:rFonts w:ascii="Arial" w:cs="Arial" w:eastAsia="Arial" w:hAnsi="Arial"/>
          <w:sz w:val="18"/>
          <w:szCs w:val="18"/>
          <w:color w:val="auto"/>
        </w:rPr>
      </w:pPr>
    </w:p>
    <w:p>
      <w:pPr>
        <w:ind w:right="240" w:firstLine="443"/>
        <w:spacing w:after="0" w:line="259" w:lineRule="auto"/>
        <w:tabs>
          <w:tab w:leader="none" w:pos="69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transactions with customers, clients, suppliers, or purchasers or sellers of goods or services that are Affiliates, in each case in the ordinary course of business and otherwise in compliance with the terms of this Indenture which are fair to the Company and its Restricted Subsidiaries, in the reasonable determination of the board of directors of the Company or the senior management thereof, or are on terms at least as favorable as might reasonably have been obtained at such time from an unaffiliated party;</w:t>
      </w:r>
    </w:p>
    <w:p>
      <w:pPr>
        <w:spacing w:after="0" w:line="78" w:lineRule="exact"/>
        <w:rPr>
          <w:rFonts w:ascii="Arial" w:cs="Arial" w:eastAsia="Arial" w:hAnsi="Arial"/>
          <w:sz w:val="18"/>
          <w:szCs w:val="18"/>
          <w:color w:val="auto"/>
        </w:rPr>
      </w:pPr>
    </w:p>
    <w:p>
      <w:pPr>
        <w:ind w:firstLine="443"/>
        <w:spacing w:after="0" w:line="277" w:lineRule="auto"/>
        <w:tabs>
          <w:tab w:leader="none" w:pos="78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issuance of Equity Interests (other than Disqualified Stock) of the Company to any Permitted Holder or to any director, officer, employee or consultant of the Company, any of its direct or indirect parent companies or any of its Restricted Subsidiaries;</w:t>
      </w:r>
    </w:p>
    <w:p>
      <w:pPr>
        <w:spacing w:after="0" w:line="62" w:lineRule="exact"/>
        <w:rPr>
          <w:rFonts w:ascii="Arial" w:cs="Arial" w:eastAsia="Arial" w:hAnsi="Arial"/>
          <w:sz w:val="18"/>
          <w:szCs w:val="18"/>
          <w:color w:val="auto"/>
        </w:rPr>
      </w:pPr>
    </w:p>
    <w:p>
      <w:pPr>
        <w:ind w:right="940" w:firstLine="443"/>
        <w:spacing w:after="0" w:line="277" w:lineRule="auto"/>
        <w:tabs>
          <w:tab w:leader="none" w:pos="77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sales of accounts receivable, or participations therein, or Securitization Assets or related assets in connection with any Qualified Securitization Facility;</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payments by the Company or any of its Restricted Subsidiaries to any of the Investors made for any financial advisory, financing,</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underwriting or placement services or in respect of other investment banking activities, including, without limitation, in connection with acquisitions or divestitures which payments are approved by a majority of the board of directors of the Company in good faith;</w:t>
      </w:r>
    </w:p>
    <w:p>
      <w:pPr>
        <w:spacing w:after="0" w:line="75" w:lineRule="exact"/>
        <w:rPr>
          <w:rFonts w:ascii="Arial" w:cs="Arial" w:eastAsia="Arial" w:hAnsi="Arial"/>
          <w:sz w:val="17"/>
          <w:szCs w:val="17"/>
          <w:color w:val="auto"/>
        </w:rPr>
      </w:pPr>
    </w:p>
    <w:p>
      <w:pPr>
        <w:ind w:right="160" w:firstLine="443"/>
        <w:spacing w:after="0" w:line="264" w:lineRule="auto"/>
        <w:tabs>
          <w:tab w:leader="none" w:pos="78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payments or loans (or cancellation of loans) to employees or consultants of the Company, any of its direct or indirect parent companies or any of its Restricted Subsidiaries and employment agreements, stock option plans and other similar arrangements with such employees or consultants which, in each case, are approved by a majority of the board of directors of the Company in good faith;</w:t>
      </w:r>
    </w:p>
    <w:p>
      <w:pPr>
        <w:spacing w:after="0" w:line="73" w:lineRule="exact"/>
        <w:rPr>
          <w:rFonts w:ascii="Arial" w:cs="Arial" w:eastAsia="Arial" w:hAnsi="Arial"/>
          <w:sz w:val="18"/>
          <w:szCs w:val="18"/>
          <w:color w:val="auto"/>
        </w:rPr>
      </w:pPr>
    </w:p>
    <w:p>
      <w:pPr>
        <w:jc w:val="both"/>
        <w:ind w:right="180" w:firstLine="443"/>
        <w:spacing w:after="0" w:line="259" w:lineRule="auto"/>
        <w:tabs>
          <w:tab w:leader="none" w:pos="78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investments by any of the Investors in securities of the Company or any of its Restricted Subsidiaries (and payment of reasonable out-of-pocket expenses incurred by such investors in connection therewith) so long as (i) the investment is being offered generally to other investors on the same or more favorable terms and (ii) the investment constitutes less than 5% of the proposed or outstanding issue amount of such class of securities; and</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40"/>
          </w:cols>
          <w:pgMar w:left="700" w:top="274" w:right="259" w:bottom="1440" w:gutter="0" w:footer="0" w:header="0"/>
        </w:sectPr>
      </w:pPr>
    </w:p>
    <w:bookmarkStart w:id="121" w:name="page122"/>
    <w:bookmarkEnd w:id="121"/>
    <w:p>
      <w:pPr>
        <w:ind w:left="460" w:right="40" w:firstLine="443"/>
        <w:spacing w:after="0" w:line="302" w:lineRule="auto"/>
        <w:tabs>
          <w:tab w:leader="none" w:pos="1243" w:val="left"/>
        </w:tabs>
        <w:numPr>
          <w:ilvl w:val="0"/>
          <w:numId w:val="1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transactions with respect to the Issuer’s jointly funded alliance with respect to the 300 millimeter wafer fabrication in Crolles, France, as in effect on the Merger Date, and any amendment, modification or restructuring thereof, or any successor or replacement alliance or arrangement with respect thereto, or any additional alliance or arrangement with respect to 300 millimeter or larger wafer fabrication (in each case whether or not located in Crolles, France) which successor or replacement alliance or arrangement is otherwise permitted under this Indenture.</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Liens</w:t>
      </w:r>
      <w:r>
        <w:rPr>
          <w:rFonts w:ascii="Arial" w:cs="Arial" w:eastAsia="Arial" w:hAnsi="Arial"/>
          <w:sz w:val="18"/>
          <w:szCs w:val="18"/>
          <w:color w:val="auto"/>
        </w:rPr>
        <w:t>. The Company shall not, and shall not permit the Issuer, Holdings IV, Holdings V or any Subsidiary Guarantor to, directly or indirectly, create, incur, assume or suffer to exist any Lien that secures obligations under any Indebtedness or any related guarantee (the “</w:t>
      </w:r>
      <w:r>
        <w:rPr>
          <w:rFonts w:ascii="Arial" w:cs="Arial" w:eastAsia="Arial" w:hAnsi="Arial"/>
          <w:sz w:val="18"/>
          <w:szCs w:val="18"/>
          <w:u w:val="single" w:color="auto"/>
          <w:color w:val="auto"/>
        </w:rPr>
        <w:t>Initial Lien</w:t>
      </w:r>
      <w:r>
        <w:rPr>
          <w:rFonts w:ascii="Arial" w:cs="Arial" w:eastAsia="Arial" w:hAnsi="Arial"/>
          <w:sz w:val="18"/>
          <w:szCs w:val="18"/>
          <w:color w:val="auto"/>
        </w:rPr>
        <w:t>”), on any asset or property of the Company, the Issuer, Holdings I, Holdings II, Holdings III, Holdings IV, Holdings V or any Subsidiary Guarantor, or any income or profits therefrom, or assign or convey any right to receive income therefrom, except:</w:t>
      </w:r>
    </w:p>
    <w:p>
      <w:pPr>
        <w:spacing w:after="0" w:line="79" w:lineRule="exact"/>
        <w:rPr>
          <w:sz w:val="20"/>
          <w:szCs w:val="20"/>
          <w:color w:val="auto"/>
        </w:rPr>
      </w:pPr>
    </w:p>
    <w:p>
      <w:pPr>
        <w:ind w:left="1160" w:hanging="257"/>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case of any Initial Lien on any Collateral, such Initial Lien if such Initial Lien is a Permitted Lien; and</w:t>
      </w:r>
    </w:p>
    <w:p>
      <w:pPr>
        <w:spacing w:after="0" w:line="117" w:lineRule="exact"/>
        <w:rPr>
          <w:rFonts w:ascii="Arial" w:cs="Arial" w:eastAsia="Arial" w:hAnsi="Arial"/>
          <w:sz w:val="18"/>
          <w:szCs w:val="18"/>
          <w:color w:val="auto"/>
        </w:rPr>
      </w:pPr>
    </w:p>
    <w:p>
      <w:pPr>
        <w:ind w:left="460" w:right="120" w:firstLine="443"/>
        <w:spacing w:after="0" w:line="264" w:lineRule="auto"/>
        <w:tabs>
          <w:tab w:leader="none" w:pos="115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case of any Initial Lien on any asset or property not constituting or required to become Collateral, such Initial Lien if (a) the Notes and Guarantees are equally and ratably secured with (or on a senior basis to, in the case such Initial Lien secures any Subordinated Indebtedness) the Obligations secured by such Initial Lien, or (b) such Initial Lien is a Permitted Lien.</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Lien created for the benefit of the Holders pursuant to clause (2) of this Section 4.12 shall provide by its terms that such Lien shall be automatically and unconditionally released and discharged upon the release and discharge of the Initial Lien which release and discharge in the case of any sale of any such asset or property shall not affect any Lien that the Trustee, the Collateral Agent or any other Authorized Representative may have on the proceeds from such sale.</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the Issuer or any Guarantor creates any additional Lien upon any property or assets to secure any First Lien Obligations, it must concurrently grant a First Lien upon such property or assets as security for the Notes or the applicable Guarantee of the Notes such that the property or assets subject to such Lien becomes Collateral subject to the First Lien, except to the extent such property constitutes cash or cash equivalents required to secure only letter of credit obligations under the Senior Credit Facilities.</w:t>
      </w:r>
    </w:p>
    <w:p>
      <w:pPr>
        <w:spacing w:after="0" w:line="18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Company Existence</w:t>
      </w:r>
      <w:r>
        <w:rPr>
          <w:rFonts w:ascii="Arial" w:cs="Arial" w:eastAsia="Arial" w:hAnsi="Arial"/>
          <w:sz w:val="18"/>
          <w:szCs w:val="18"/>
          <w:color w:val="auto"/>
        </w:rPr>
        <w:t xml:space="preserve">. Subject to Article 5 hereof, the Company shall do or cause to be done all things necessary to preserve and keep in full force and effect (i) its company existence, and the corporate, partnership or other existence of each of its Restricted Subsidiaries, in accordance with the respective organizational documents (as the same may be amended from time to time) of the Company or any such Restricted Subsidiary and (ii) the rights (charter and statutory), licenses and franchises of the Company and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preserve any such right, license or franchise, or the corporate, partnership or other existence of any of its Restricted Subsidiaries (other than the Issuer), if the Company in good faith shall determine that the preservation thereof is no longer desirable in the conduct of the business of the Company and its Restricted Subsidiaries, taken as a whole.</w:t>
      </w:r>
    </w:p>
    <w:p>
      <w:pPr>
        <w:spacing w:after="0" w:line="189"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Offer to Repurchase Upon Change of Control</w:t>
      </w:r>
      <w:r>
        <w:rPr>
          <w:rFonts w:ascii="Arial" w:cs="Arial" w:eastAsia="Arial" w:hAnsi="Arial"/>
          <w:sz w:val="16"/>
          <w:szCs w:val="16"/>
          <w:color w:val="auto"/>
        </w:rPr>
        <w:t>. If a Change of Control occurs, unless the Issuer has previously or concurrently transmitted a redemption notice with respect to all the outstanding Notes as described under Section 3.07 hereof, the Issuer shall make an offer to purchase all of the Notes pursuant to the offer described below (the “</w:t>
      </w:r>
      <w:r>
        <w:rPr>
          <w:rFonts w:ascii="Arial" w:cs="Arial" w:eastAsia="Arial" w:hAnsi="Arial"/>
          <w:sz w:val="16"/>
          <w:szCs w:val="16"/>
          <w:u w:val="single" w:color="auto"/>
          <w:color w:val="auto"/>
        </w:rPr>
        <w:t>Change of Control Offer</w:t>
      </w:r>
      <w:r>
        <w:rPr>
          <w:rFonts w:ascii="Arial" w:cs="Arial" w:eastAsia="Arial" w:hAnsi="Arial"/>
          <w:sz w:val="16"/>
          <w:szCs w:val="16"/>
          <w:color w:val="auto"/>
        </w:rPr>
        <w:t>”) at a price in cash (the “</w:t>
      </w:r>
      <w:r>
        <w:rPr>
          <w:rFonts w:ascii="Arial" w:cs="Arial" w:eastAsia="Arial" w:hAnsi="Arial"/>
          <w:sz w:val="16"/>
          <w:szCs w:val="16"/>
          <w:u w:val="single" w:color="auto"/>
          <w:color w:val="auto"/>
        </w:rPr>
        <w:t>Change of Control Payment</w:t>
      </w:r>
      <w:r>
        <w:rPr>
          <w:rFonts w:ascii="Arial" w:cs="Arial" w:eastAsia="Arial" w:hAnsi="Arial"/>
          <w:sz w:val="16"/>
          <w:szCs w:val="16"/>
          <w:color w:val="auto"/>
        </w:rPr>
        <w:t>”) equal to 101% of the aggregate principal amount thereof plus accrued and unpaid interest, if any, to the date of purchase, subject to the right of Holders of the Notes of record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122" w:name="page123"/>
    <w:bookmarkEnd w:id="122"/>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relevant Record Date to receive interest due on the relevant Interest Payment Date. Within 30 days following any Change of Control, the Issuer shall send notice of such Change of Control Offer by first-class mail, with a copy to the Trustee, or otherwise transmit to each Holder of Notes to the address of such Holder appearing in the Note Register or otherwise in accordance with Applicable Procedures, with a copy to the Trustee, with the following information:</w:t>
      </w:r>
    </w:p>
    <w:p>
      <w:pPr>
        <w:spacing w:after="0" w:line="79" w:lineRule="exact"/>
        <w:rPr>
          <w:sz w:val="20"/>
          <w:szCs w:val="20"/>
          <w:color w:val="auto"/>
        </w:rPr>
      </w:pPr>
    </w:p>
    <w:p>
      <w:pPr>
        <w:ind w:left="460" w:right="240" w:firstLine="443"/>
        <w:spacing w:after="0" w:line="277" w:lineRule="auto"/>
        <w:tabs>
          <w:tab w:leader="none" w:pos="11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a Change of Control Offer is being made pursuant to this Section 4.14 and that all Notes properly tendered pursuant to such Change of Control Offer will be accepted for payment by the Issuer;</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purchase price and the purchase date, which will be no earlier than 30 days nor later than 60 days from the date such notice is mailed (the “Change of Control Payment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any Note not properly tendered will remain outstanding and continue to accrue interest;</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unless the Issuer defaults in the payment of the Change of Control Payment, all Notes accepted for payment pursuant to the Change of Control Offer will cease to accrue interest on the Change of Control Payment Date;</w:t>
      </w:r>
    </w:p>
    <w:p>
      <w:pPr>
        <w:spacing w:after="0" w:line="62" w:lineRule="exact"/>
        <w:rPr>
          <w:rFonts w:ascii="Arial" w:cs="Arial" w:eastAsia="Arial" w:hAnsi="Arial"/>
          <w:sz w:val="18"/>
          <w:szCs w:val="18"/>
          <w:color w:val="auto"/>
        </w:rPr>
      </w:pPr>
    </w:p>
    <w:p>
      <w:pPr>
        <w:jc w:val="both"/>
        <w:ind w:left="460" w:right="220" w:firstLine="443"/>
        <w:spacing w:after="0" w:line="286" w:lineRule="auto"/>
        <w:tabs>
          <w:tab w:leader="none" w:pos="115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that Holders electing to have any Notes purchased pursuant to a Change of Control Offer will be required to surrender such Notes, with the form entitled “Option of Holder to Elect Purchase” on the reverse of such Notes completed, to the paying agent specified in the notice at the address specified in the notice prior to the close of business on the third Business Day preceding the Change of Control Payment Date;</w:t>
      </w:r>
    </w:p>
    <w:p>
      <w:pPr>
        <w:spacing w:after="0" w:line="57" w:lineRule="exact"/>
        <w:rPr>
          <w:rFonts w:ascii="Arial" w:cs="Arial" w:eastAsia="Arial" w:hAnsi="Arial"/>
          <w:sz w:val="17"/>
          <w:szCs w:val="17"/>
          <w:color w:val="auto"/>
        </w:rPr>
      </w:pPr>
    </w:p>
    <w:p>
      <w:pPr>
        <w:ind w:left="460" w:right="20" w:firstLine="443"/>
        <w:spacing w:after="0" w:line="259" w:lineRule="auto"/>
        <w:tabs>
          <w:tab w:leader="none" w:pos="11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that Holders will be entitled to withdraw their tendered Notes and their election to require the Issuer to purchase such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paying agent receives, not later than the close of business on the expiration date of the Change of Control Offer, a telegram, facsimile transmission or letter setting forth the name of the Holder of the Notes, the principal amount of Notes tendered for purchase, and a statement that such Holder is withdrawing its tendered Notes and its election to have such Notes purchased;</w:t>
      </w:r>
    </w:p>
    <w:p>
      <w:pPr>
        <w:spacing w:after="0" w:line="78"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if the Issuer is redeeming less than all of the Notes, the Holders of the remaining Notes will be issued new Notes and such new Notes will be equal in principal amount to the unpurchased portion of the Notes surrendered. The unpurchased portion of the Notes must be equal to at least $2,000 or an integral multiple of $1,000 thereafter;</w:t>
      </w:r>
    </w:p>
    <w:p>
      <w:pPr>
        <w:spacing w:after="0" w:line="73" w:lineRule="exact"/>
        <w:rPr>
          <w:rFonts w:ascii="Arial" w:cs="Arial" w:eastAsia="Arial" w:hAnsi="Arial"/>
          <w:sz w:val="18"/>
          <w:szCs w:val="18"/>
          <w:color w:val="auto"/>
        </w:rPr>
      </w:pPr>
    </w:p>
    <w:p>
      <w:pPr>
        <w:ind w:left="460" w:right="720" w:firstLine="443"/>
        <w:spacing w:after="0" w:line="277" w:lineRule="auto"/>
        <w:tabs>
          <w:tab w:leader="none" w:pos="11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such notice is mailed prior to the occurrence of a Change of Control, stating that the Change of Control Offer is conditional on the occurrence of such Change of Control;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other instructions, as determined by the Issuer, consistent with this Section 4.14 described hereunder, that a Holder must follow.</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notice, if transmitted in a manner herein provided, shall be conclusively presumed to have been given, whether or not the Holder receives such notice. If</w:t>
      </w:r>
    </w:p>
    <w:p>
      <w:pPr>
        <w:spacing w:after="0" w:line="46" w:lineRule="exact"/>
        <w:rPr>
          <w:sz w:val="20"/>
          <w:szCs w:val="20"/>
          <w:color w:val="auto"/>
        </w:rPr>
      </w:pPr>
    </w:p>
    <w:p>
      <w:pPr>
        <w:ind w:right="100" w:firstLine="8"/>
        <w:spacing w:after="0" w:line="302" w:lineRule="auto"/>
        <w:tabs>
          <w:tab w:leader="none" w:pos="24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notice is transmitted in a manner herein provided and (b)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 The Issuer shall comply with the requirements of Rule 14e-1 under the Exchange Act and</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123" w:name="page124"/>
    <w:bookmarkEnd w:id="12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this Indenture, the Issuer shall comply with the applicable securities laws and regulations and shall not be deemed to have breached its obligations under this Indenture by virtue thereof.</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On the Change of Control Payment Date, the Issuer shall, to the extent permitted by law,</w:t>
      </w:r>
    </w:p>
    <w:p>
      <w:pPr>
        <w:spacing w:after="0" w:line="117" w:lineRule="exact"/>
        <w:rPr>
          <w:sz w:val="20"/>
          <w:szCs w:val="20"/>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accept for payment all Notes issued by it or portions thereof properly tendered pursuant to the Change of Control Offer,</w:t>
      </w:r>
    </w:p>
    <w:p>
      <w:pPr>
        <w:spacing w:after="0" w:line="117" w:lineRule="exact"/>
        <w:rPr>
          <w:rFonts w:ascii="Arial" w:cs="Arial" w:eastAsia="Arial" w:hAnsi="Arial"/>
          <w:sz w:val="18"/>
          <w:szCs w:val="18"/>
          <w:color w:val="auto"/>
        </w:rPr>
      </w:pPr>
    </w:p>
    <w:p>
      <w:pPr>
        <w:ind w:left="460" w:right="360" w:firstLine="443"/>
        <w:spacing w:after="0" w:line="277" w:lineRule="auto"/>
        <w:tabs>
          <w:tab w:leader="none" w:pos="115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Payment in respect of all Notes or portions thereof so tendered, and</w:t>
      </w:r>
    </w:p>
    <w:p>
      <w:pPr>
        <w:spacing w:after="0" w:line="62" w:lineRule="exact"/>
        <w:rPr>
          <w:rFonts w:ascii="Arial" w:cs="Arial" w:eastAsia="Arial" w:hAnsi="Arial"/>
          <w:sz w:val="18"/>
          <w:szCs w:val="18"/>
          <w:color w:val="auto"/>
        </w:rPr>
      </w:pPr>
    </w:p>
    <w:p>
      <w:pPr>
        <w:ind w:left="460" w:right="360" w:firstLine="443"/>
        <w:spacing w:after="0" w:line="277" w:lineRule="auto"/>
        <w:tabs>
          <w:tab w:leader="none" w:pos="115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Notes so accepted together with an Officer’s Certificate to the Trustee stating that such Notes or portions thereof have been tendered to and purchased by the Issuer.</w:t>
      </w:r>
    </w:p>
    <w:p>
      <w:pPr>
        <w:spacing w:after="0" w:line="62" w:lineRule="exact"/>
        <w:rPr>
          <w:rFonts w:ascii="Arial" w:cs="Arial" w:eastAsia="Arial" w:hAnsi="Arial"/>
          <w:sz w:val="18"/>
          <w:szCs w:val="18"/>
          <w:color w:val="auto"/>
        </w:rPr>
      </w:pPr>
    </w:p>
    <w:p>
      <w:pPr>
        <w:ind w:right="200" w:firstLine="921"/>
        <w:spacing w:after="0" w:line="276" w:lineRule="auto"/>
        <w:tabs>
          <w:tab w:leader="none" w:pos="1158" w:val="left"/>
        </w:tabs>
        <w:numPr>
          <w:ilvl w:val="1"/>
          <w:numId w:val="198"/>
        </w:numPr>
        <w:rPr>
          <w:rFonts w:ascii="Arial" w:cs="Arial" w:eastAsia="Arial" w:hAnsi="Arial"/>
          <w:sz w:val="17"/>
          <w:szCs w:val="17"/>
          <w:color w:val="auto"/>
        </w:rPr>
      </w:pPr>
      <w:r>
        <w:rPr>
          <w:rFonts w:ascii="Arial" w:cs="Arial" w:eastAsia="Arial" w:hAnsi="Arial"/>
          <w:sz w:val="17"/>
          <w:szCs w:val="17"/>
          <w:color w:val="auto"/>
        </w:rPr>
        <w:t>The Issuer shall not be required to make a Change of Control Offer following a Change of Control if a third party makes the Change of Control Offer in the manner, at the times and otherwise in compliance with the requirements set forth in this Indenture applicable to a Change of Control Offer made by the Issuer and purchases all Notes validly tendered and not withdrawn under such Change of Control Offer. Notwithstanding anything to the contrary herein, a Change of Control Offer may be made in advance of a Change of Control, conditional upon such Change of Control, if a definitive agreement is in place for the Change of Control at the time of making of the Change of Control Offer.</w:t>
      </w:r>
    </w:p>
    <w:p>
      <w:pPr>
        <w:spacing w:after="0" w:line="64" w:lineRule="exact"/>
        <w:rPr>
          <w:rFonts w:ascii="Arial" w:cs="Arial" w:eastAsia="Arial" w:hAnsi="Arial"/>
          <w:sz w:val="17"/>
          <w:szCs w:val="17"/>
          <w:color w:val="auto"/>
        </w:rPr>
      </w:pPr>
    </w:p>
    <w:p>
      <w:pPr>
        <w:jc w:val="both"/>
        <w:ind w:firstLine="921"/>
        <w:spacing w:after="0" w:line="264" w:lineRule="auto"/>
        <w:tabs>
          <w:tab w:leader="none" w:pos="116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Other than as specifically provided in this Section 4.14, any purchase pursuant to this Section 4.14 shall be made pursuant to the provisions of Sections 3.02, 3.05 and 3.06 hereof, and references therein to “redeem,” “redemption” and similar words shall be deemed to refer to “purchase,” “repurchase” and similar words, as applicable.</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Limitation on Guarantees of Indebtedness by Restricted Subsidiaries</w:t>
      </w:r>
      <w:r>
        <w:rPr>
          <w:rFonts w:ascii="Arial" w:cs="Arial" w:eastAsia="Arial" w:hAnsi="Arial"/>
          <w:sz w:val="18"/>
          <w:szCs w:val="18"/>
          <w:color w:val="auto"/>
        </w:rPr>
        <w:t>. The Company shall not permit any of its Restricted Subsidiaries, other than a Guarantor or the Issuer, to guarantee the payment of any First Lien Obligations, including any Indebtedness (or any interest on such Indebtedness) under the Senior Credit Facilities, the NXP Notes and the Existing Secured Notes unless:</w:t>
      </w:r>
    </w:p>
    <w:p>
      <w:pPr>
        <w:spacing w:after="0" w:line="73" w:lineRule="exact"/>
        <w:rPr>
          <w:sz w:val="20"/>
          <w:szCs w:val="20"/>
          <w:color w:val="auto"/>
        </w:rPr>
      </w:pPr>
    </w:p>
    <w:p>
      <w:pPr>
        <w:ind w:left="460" w:right="100" w:firstLine="443"/>
        <w:spacing w:after="0" w:line="257" w:lineRule="auto"/>
        <w:tabs>
          <w:tab w:leader="none" w:pos="115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Restricted Subsidiary within 30 days executes and delivers a supplemental indenture to this Indenture, the form of which is attached as Exhibit D hereto, providing for a Guarantee by such Restricted Subsidiary, except that with respect to a guarantee of Indebtedness of the Issuer or any Guarantor, if such Indebtedness is by its express terms subordinated in right of payment to the Notes or such Guarantor’s Guarantee, any such guarantee by such Restricted Subsidiary with respect to such Indebtedness shall be subordinated in right of payment to such Guarantee substantially to the same extent as such Indebtedness is subordinated to the Notes;</w:t>
      </w:r>
    </w:p>
    <w:p>
      <w:pPr>
        <w:spacing w:after="0" w:line="80" w:lineRule="exact"/>
        <w:rPr>
          <w:rFonts w:ascii="Arial" w:cs="Arial" w:eastAsia="Arial" w:hAnsi="Arial"/>
          <w:sz w:val="18"/>
          <w:szCs w:val="18"/>
          <w:color w:val="auto"/>
        </w:rPr>
      </w:pPr>
    </w:p>
    <w:p>
      <w:pPr>
        <w:ind w:left="460" w:right="280" w:firstLine="443"/>
        <w:spacing w:after="0" w:line="264" w:lineRule="auto"/>
        <w:tabs>
          <w:tab w:leader="none" w:pos="115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Restricted Subsidiary waives and shall not in any manner whatsoever claim or take the benefit or advantage of, any rights of reimbursement, indemnity or subrogation or any other rights against any Guarantor or any other Restricted Subsidiary as a result of any payment by such Person under its Guarantee or otherwise;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124" w:name="page125"/>
    <w:bookmarkEnd w:id="124"/>
    <w:p>
      <w:pPr>
        <w:ind w:left="1080" w:hanging="257"/>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Restricted Subsidiary shall deliver to the Trustee an Opinion of Counsel to the effect that:</w:t>
      </w:r>
    </w:p>
    <w:p>
      <w:pPr>
        <w:spacing w:after="0" w:line="117" w:lineRule="exact"/>
        <w:rPr>
          <w:rFonts w:ascii="Arial" w:cs="Arial" w:eastAsia="Arial" w:hAnsi="Arial"/>
          <w:sz w:val="18"/>
          <w:szCs w:val="18"/>
          <w:color w:val="auto"/>
        </w:rPr>
      </w:pPr>
    </w:p>
    <w:p>
      <w:pPr>
        <w:ind w:left="1560" w:hanging="299"/>
        <w:spacing w:after="0"/>
        <w:tabs>
          <w:tab w:leader="none" w:pos="15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such Guarantee has been duly executed and authorized; and</w:t>
      </w:r>
    </w:p>
    <w:p>
      <w:pPr>
        <w:spacing w:after="0" w:line="117" w:lineRule="exact"/>
        <w:rPr>
          <w:rFonts w:ascii="Arial" w:cs="Arial" w:eastAsia="Arial" w:hAnsi="Arial"/>
          <w:sz w:val="18"/>
          <w:szCs w:val="18"/>
          <w:color w:val="auto"/>
        </w:rPr>
      </w:pPr>
    </w:p>
    <w:p>
      <w:pPr>
        <w:ind w:left="840" w:right="260" w:firstLine="421"/>
        <w:spacing w:after="0" w:line="264" w:lineRule="auto"/>
        <w:tabs>
          <w:tab w:leader="none" w:pos="154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such Guarantee constitutes a valid, binding and enforceable obligation of such Restricted Subsidiary, except insofar as enforcement thereof may be limited by bankruptcy, insolvency or similar laws (including, without limitation, all laws relating to fraudulent transfers) and except insofar as enforcement thereof is subject to general principles of equity.</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Suspension of Covenants</w:t>
      </w:r>
      <w:r>
        <w:rPr>
          <w:rFonts w:ascii="Arial" w:cs="Arial" w:eastAsia="Arial" w:hAnsi="Arial"/>
          <w:sz w:val="18"/>
          <w:szCs w:val="18"/>
          <w:color w:val="auto"/>
        </w:rPr>
        <w:t>.</w:t>
      </w:r>
    </w:p>
    <w:p>
      <w:pPr>
        <w:spacing w:after="0" w:line="117" w:lineRule="exact"/>
        <w:rPr>
          <w:sz w:val="20"/>
          <w:szCs w:val="20"/>
          <w:color w:val="auto"/>
        </w:rPr>
      </w:pPr>
    </w:p>
    <w:p>
      <w:pPr>
        <w:ind w:left="-80" w:right="80" w:firstLine="921"/>
        <w:spacing w:after="0" w:line="257" w:lineRule="auto"/>
        <w:tabs>
          <w:tab w:leader="none" w:pos="107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During any period of time that (i) the Notes have Investment Grade Ratings from both Rating Agencies and (ii) no Default has occurred and is continuing under this Indenture (the occurrence of the events described in the foregoing clauses (i) and (ii) being collectively referred to as a “</w:t>
      </w:r>
      <w:r>
        <w:rPr>
          <w:rFonts w:ascii="Arial" w:cs="Arial" w:eastAsia="Arial" w:hAnsi="Arial"/>
          <w:sz w:val="18"/>
          <w:szCs w:val="18"/>
          <w:u w:val="single" w:color="auto"/>
          <w:color w:val="auto"/>
        </w:rPr>
        <w:t>Covenant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Suspension Event</w:t>
      </w:r>
      <w:r>
        <w:rPr>
          <w:rFonts w:ascii="Arial" w:cs="Arial" w:eastAsia="Arial" w:hAnsi="Arial"/>
          <w:sz w:val="18"/>
          <w:szCs w:val="18"/>
          <w:color w:val="auto"/>
        </w:rPr>
        <w:t>” and the date thereof being referred to as the “</w:t>
      </w:r>
      <w:r>
        <w:rPr>
          <w:rFonts w:ascii="Arial" w:cs="Arial" w:eastAsia="Arial" w:hAnsi="Arial"/>
          <w:sz w:val="18"/>
          <w:szCs w:val="18"/>
          <w:u w:val="single" w:color="auto"/>
          <w:color w:val="auto"/>
        </w:rPr>
        <w:t>Suspension Date</w:t>
      </w:r>
      <w:r>
        <w:rPr>
          <w:rFonts w:ascii="Arial" w:cs="Arial" w:eastAsia="Arial" w:hAnsi="Arial"/>
          <w:sz w:val="18"/>
          <w:szCs w:val="18"/>
          <w:color w:val="auto"/>
        </w:rPr>
        <w:t>”) then, Section 4.07 hereof, Section 4.08 hereof, Section 4.09 hereof, Section 4.10 hereof, Section 4.11 hereof, clause (4) of Section 5.01(a) hereof and clause (4) of Section 5.01(c) hereof shall not be applicable to the Notes (collectively, the “</w:t>
      </w:r>
      <w:r>
        <w:rPr>
          <w:rFonts w:ascii="Arial" w:cs="Arial" w:eastAsia="Arial" w:hAnsi="Arial"/>
          <w:sz w:val="18"/>
          <w:szCs w:val="18"/>
          <w:u w:val="single" w:color="auto"/>
          <w:color w:val="auto"/>
        </w:rPr>
        <w:t>Suspended Covenants</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80" w:right="20" w:firstLine="921"/>
        <w:spacing w:after="0" w:line="277" w:lineRule="auto"/>
        <w:tabs>
          <w:tab w:leader="none" w:pos="108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During any period that the foregoing covenants have been suspended, the Company may not designate any of its Subsidiaries as Unrestricted Subsidiaries pursuant to the second sentence of the definition of “Unrestricted Subsidiary.”</w:t>
      </w:r>
    </w:p>
    <w:p>
      <w:pPr>
        <w:spacing w:after="0" w:line="62" w:lineRule="exact"/>
        <w:rPr>
          <w:rFonts w:ascii="Arial" w:cs="Arial" w:eastAsia="Arial" w:hAnsi="Arial"/>
          <w:sz w:val="18"/>
          <w:szCs w:val="18"/>
          <w:color w:val="auto"/>
        </w:rPr>
      </w:pPr>
    </w:p>
    <w:p>
      <w:pPr>
        <w:ind w:left="-80" w:firstLine="921"/>
        <w:spacing w:after="0" w:line="255" w:lineRule="auto"/>
        <w:tabs>
          <w:tab w:leader="none" w:pos="107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event that the Company and its Restricted Subsidiaries are not subject to the Suspended Covenants under this Indenture for any period of time as a result of the foregoing, and on any subsequent date (the “</w:t>
      </w:r>
      <w:r>
        <w:rPr>
          <w:rFonts w:ascii="Arial" w:cs="Arial" w:eastAsia="Arial" w:hAnsi="Arial"/>
          <w:sz w:val="18"/>
          <w:szCs w:val="18"/>
          <w:u w:val="single" w:color="auto"/>
          <w:color w:val="auto"/>
        </w:rPr>
        <w:t>Reversion Date</w:t>
      </w:r>
      <w:r>
        <w:rPr>
          <w:rFonts w:ascii="Arial" w:cs="Arial" w:eastAsia="Arial" w:hAnsi="Arial"/>
          <w:sz w:val="18"/>
          <w:szCs w:val="18"/>
          <w:color w:val="auto"/>
        </w:rPr>
        <w:t>”) one or both of the Rating Agencies withdraw their Investment Grade Rating or downgrade the rating assigned to the Notes below an Investment Grade Rating, then the Company and its Restricted Subsidiaries will thereafter again be subject to the Suspended Covenants under this Indenture with respect to future events. The period of time between the Suspension Date and the Reversion Date is referred to in this Section 4.16 as the “</w:t>
      </w:r>
      <w:r>
        <w:rPr>
          <w:rFonts w:ascii="Arial" w:cs="Arial" w:eastAsia="Arial" w:hAnsi="Arial"/>
          <w:sz w:val="18"/>
          <w:szCs w:val="18"/>
          <w:u w:val="single" w:color="auto"/>
          <w:color w:val="auto"/>
        </w:rPr>
        <w:t>Suspension Period</w:t>
      </w:r>
      <w:r>
        <w:rPr>
          <w:rFonts w:ascii="Arial" w:cs="Arial" w:eastAsia="Arial" w:hAnsi="Arial"/>
          <w:sz w:val="18"/>
          <w:szCs w:val="18"/>
          <w:color w:val="auto"/>
        </w:rPr>
        <w:t>.” Additionally, upon the occurrence of a Covenant Suspension Event, the amount of Excess Proceeds from Net Proceeds shall be reset to zero.</w:t>
      </w:r>
    </w:p>
    <w:p>
      <w:pPr>
        <w:spacing w:after="0" w:line="85" w:lineRule="exact"/>
        <w:rPr>
          <w:rFonts w:ascii="Arial" w:cs="Arial" w:eastAsia="Arial" w:hAnsi="Arial"/>
          <w:sz w:val="18"/>
          <w:szCs w:val="18"/>
          <w:color w:val="auto"/>
        </w:rPr>
      </w:pPr>
    </w:p>
    <w:p>
      <w:pPr>
        <w:ind w:left="-80" w:right="140" w:firstLine="921"/>
        <w:spacing w:after="0" w:line="255" w:lineRule="auto"/>
        <w:tabs>
          <w:tab w:leader="none" w:pos="108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During any Suspension Period, the Company will not, and will not permit any Restricted Subsidiary to, enter into any Sale and Lease-Back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or any Restricted Subsidiary may enter into a Sale and Lease-Back Transaction if (i) the Company or such Restricted Subsidiary could have incurred a Lien to secure the Indebtedness attributable to such Sale and Lease-Back Transaction pursuant to Section 4.12 hereof without equally and ratably securing the Notes pursuant to the covenant described under such section; and (ii) the consideration received by the Company or such Restricted Subsidiary in that Sale and Lease-Back Transaction is at least equal to the fair market value of the property sold and otherwise complies with Section 4.10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foregoing provisions shall cease to apply on and subsequent to the Reversion Date following such Suspension Period.</w:t>
      </w:r>
    </w:p>
    <w:p>
      <w:pPr>
        <w:spacing w:after="0" w:line="81" w:lineRule="exact"/>
        <w:rPr>
          <w:rFonts w:ascii="Arial" w:cs="Arial" w:eastAsia="Arial" w:hAnsi="Arial"/>
          <w:sz w:val="18"/>
          <w:szCs w:val="18"/>
          <w:color w:val="auto"/>
        </w:rPr>
      </w:pPr>
    </w:p>
    <w:p>
      <w:pPr>
        <w:ind w:left="-80" w:right="180" w:firstLine="921"/>
        <w:spacing w:after="0" w:line="259" w:lineRule="auto"/>
        <w:tabs>
          <w:tab w:leader="none" w:pos="107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the event of any such reinstatement, no action taken or omitted to be taken by the Company or any of its Restricted Subsidiaries prior to such reinstatement will give rise to a Default or Event of Default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with respect to Restricted Payments made after such reinstatement, the amount of Restricted Payments made will be calculated as though Section 4.07 had been in effect prior to, but not during, the Suspension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60"/>
          </w:cols>
          <w:pgMar w:left="320" w:top="274" w:right="319" w:bottom="1440" w:gutter="0" w:footer="0" w:header="0"/>
        </w:sectPr>
      </w:pPr>
    </w:p>
    <w:bookmarkStart w:id="125" w:name="page126"/>
    <w:bookmarkEnd w:id="125"/>
    <w:p>
      <w:pPr>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and (2) all Indebtedness incurred, or Disqualified Stock issued, during the Suspension Period will be classified to have been incurred or issued pursuant to Section 4.09(b)(3). In addition, for purposes of clause (3) of Section 4.07(a) hereof, all events set forth in such clause (3) occurring during a Suspension Period shall be disregarded for purposes of determining the amount of Restricted Payments the Company or any Restricted Subsidiary is permitted to make pursuant to such clause (3).</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 The Issuer shall deliver promptly to the Trustee an Officer’s Certificate of the Issuer notifying it of any event set forth under this Section 4.16.</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Merger, Consolidation or Sale of All or Substantially All Assets</w:t>
      </w:r>
      <w:r>
        <w:rPr>
          <w:rFonts w:ascii="Arial" w:cs="Arial" w:eastAsia="Arial" w:hAnsi="Arial"/>
          <w:sz w:val="18"/>
          <w:szCs w:val="18"/>
          <w:color w:val="auto"/>
        </w:rPr>
        <w:t>.</w:t>
      </w:r>
    </w:p>
    <w:p>
      <w:pPr>
        <w:spacing w:after="0" w:line="117" w:lineRule="exact"/>
        <w:rPr>
          <w:sz w:val="20"/>
          <w:szCs w:val="20"/>
          <w:color w:val="auto"/>
        </w:rPr>
      </w:pPr>
    </w:p>
    <w:p>
      <w:pPr>
        <w:ind w:right="180" w:firstLine="921"/>
        <w:spacing w:after="0" w:line="342" w:lineRule="auto"/>
        <w:tabs>
          <w:tab w:leader="none" w:pos="115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Issuer may not consolidate or merge with or into or wind up into (whether or not the Issuer is the surviving corporation), or sell, assign, transfer, lease, convey or otherwise dispose of all or substantially all of its properties or assets, in one or more related transactions, to any Person unless:</w:t>
      </w:r>
    </w:p>
    <w:p>
      <w:pPr>
        <w:spacing w:after="0" w:line="15" w:lineRule="exact"/>
        <w:rPr>
          <w:rFonts w:ascii="Arial" w:cs="Arial" w:eastAsia="Arial" w:hAnsi="Arial"/>
          <w:sz w:val="16"/>
          <w:szCs w:val="16"/>
          <w:color w:val="auto"/>
        </w:rPr>
      </w:pPr>
    </w:p>
    <w:p>
      <w:pPr>
        <w:ind w:left="460" w:right="160" w:firstLine="443"/>
        <w:spacing w:after="0" w:line="255" w:lineRule="auto"/>
        <w:tabs>
          <w:tab w:leader="none" w:pos="115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Issuer is the surviving corporation or the Person formed by or surviving any such consolidation or merger (if other than the Issuer) or to which such sale, assignment, transfer, lease, conveyance or other disposition will have been made, is a Person organized or existing under the laws of the jurisdiction of organization of the Issuer or the laws of the United States, any state thereof, the District of Columbia, any member state of the European Union on January 1, 2014, Canada or any province of Canada, Norway, Switzerland, Bermuda or any territory thereof (such Person, as the case may be, being herein called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where the surviving Person is not a corporation, a co-obligor of the Notes is a corporation;</w:t>
      </w:r>
    </w:p>
    <w:p>
      <w:pPr>
        <w:spacing w:after="0" w:line="85" w:lineRule="exact"/>
        <w:rPr>
          <w:rFonts w:ascii="Arial" w:cs="Arial" w:eastAsia="Arial" w:hAnsi="Arial"/>
          <w:sz w:val="18"/>
          <w:szCs w:val="18"/>
          <w:color w:val="auto"/>
        </w:rPr>
      </w:pPr>
    </w:p>
    <w:p>
      <w:pPr>
        <w:ind w:left="460" w:right="40" w:firstLine="443"/>
        <w:spacing w:after="0" w:line="255" w:lineRule="auto"/>
        <w:tabs>
          <w:tab w:leader="none" w:pos="115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Successor Company, if other than the Issuer, expressly assumes all the obligations of the Issuer under this Indenture and the Notes pursuant to supplemental indentures or other documents or instruments and the performance of the covenants and obligations of the Issuer under the Collateral Documents relating to the Notes and shall cause such amendments, supplements, or other instruments to be executed, filed and recorded in such jurisdictions as may be required by applicable law to preserve and protect the Lien on the Collateral owned by or transferred to the Successor Company, together with such financing statements or comparable documents as may be required to perfect any security interests in such Collateral which may be perfected by the filing of a financing statement or a similar document under the UCC or other similar statute or regulation of the relevant states or jurisdictions;</w:t>
      </w:r>
    </w:p>
    <w:p>
      <w:pPr>
        <w:spacing w:after="0" w:line="81" w:lineRule="exact"/>
        <w:rPr>
          <w:rFonts w:ascii="Arial" w:cs="Arial" w:eastAsia="Arial" w:hAnsi="Arial"/>
          <w:sz w:val="18"/>
          <w:szCs w:val="18"/>
          <w:color w:val="auto"/>
        </w:rPr>
      </w:pPr>
    </w:p>
    <w:p>
      <w:pPr>
        <w:ind w:left="1160" w:hanging="257"/>
        <w:spacing w:after="0"/>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immediately after such transaction, no Default exists;</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immediately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transaction and any related financing transactions, as if such transactions had occurred at the beginning of the applicable four-quarter period,</w:t>
      </w:r>
    </w:p>
    <w:p>
      <w:pPr>
        <w:spacing w:after="0" w:line="62" w:lineRule="exact"/>
        <w:rPr>
          <w:rFonts w:ascii="Arial" w:cs="Arial" w:eastAsia="Arial" w:hAnsi="Arial"/>
          <w:sz w:val="18"/>
          <w:szCs w:val="18"/>
          <w:color w:val="auto"/>
        </w:rPr>
      </w:pPr>
    </w:p>
    <w:p>
      <w:pPr>
        <w:ind w:left="920" w:firstLine="421"/>
        <w:spacing w:after="0" w:line="277" w:lineRule="auto"/>
        <w:tabs>
          <w:tab w:leader="none" w:pos="1635" w:val="left"/>
        </w:tabs>
        <w:numPr>
          <w:ilvl w:val="2"/>
          <w:numId w:val="203"/>
        </w:numPr>
        <w:rPr>
          <w:rFonts w:ascii="Arial" w:cs="Arial" w:eastAsia="Arial" w:hAnsi="Arial"/>
          <w:sz w:val="18"/>
          <w:szCs w:val="18"/>
          <w:color w:val="auto"/>
        </w:rPr>
      </w:pPr>
      <w:r>
        <w:rPr>
          <w:rFonts w:ascii="Arial" w:cs="Arial" w:eastAsia="Arial" w:hAnsi="Arial"/>
          <w:sz w:val="18"/>
          <w:szCs w:val="18"/>
          <w:color w:val="auto"/>
        </w:rPr>
        <w:t>the Successor Company or the Issuer would be permitted to incur at least $1.00 of additional Indebtedness pursuant to the Fixed Charge Coverage Test set forth in Section 4.09(a) hereof,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126" w:name="page127"/>
    <w:bookmarkEnd w:id="126"/>
    <w:p>
      <w:pPr>
        <w:ind w:left="900" w:right="120" w:firstLine="421"/>
        <w:spacing w:after="0" w:line="277" w:lineRule="auto"/>
        <w:tabs>
          <w:tab w:leader="none" w:pos="1605" w:val="left"/>
        </w:tabs>
        <w:numPr>
          <w:ilvl w:val="2"/>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Fixed Charge Coverage Ratio for the Company and the Restricted Subsidiaries would be equal to or greater than the Fixed Charge Coverage Ratio for the Company and its Restricted Subsidiaries immediately prior to such transaction;</w:t>
      </w:r>
    </w:p>
    <w:p>
      <w:pPr>
        <w:spacing w:after="0" w:line="62" w:lineRule="exact"/>
        <w:rPr>
          <w:rFonts w:ascii="Arial" w:cs="Arial" w:eastAsia="Arial" w:hAnsi="Arial"/>
          <w:sz w:val="18"/>
          <w:szCs w:val="18"/>
          <w:color w:val="auto"/>
        </w:rPr>
      </w:pPr>
    </w:p>
    <w:p>
      <w:pPr>
        <w:ind w:left="440" w:right="220" w:firstLine="443"/>
        <w:spacing w:after="0" w:line="342" w:lineRule="auto"/>
        <w:tabs>
          <w:tab w:leader="none" w:pos="1133"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each Guarantor, unless it is the other party to the transactions described above, in which case Section 5.01(e)(1)(B) hereof shall apply, shall have by supplemental indenture confirmed that its Guarantee shall apply to such Person’s obligations under this Indenture and the Notes; and</w:t>
      </w:r>
    </w:p>
    <w:p>
      <w:pPr>
        <w:spacing w:after="0" w:line="15" w:lineRule="exact"/>
        <w:rPr>
          <w:rFonts w:ascii="Arial" w:cs="Arial" w:eastAsia="Arial" w:hAnsi="Arial"/>
          <w:sz w:val="16"/>
          <w:szCs w:val="16"/>
          <w:color w:val="auto"/>
        </w:rPr>
      </w:pPr>
    </w:p>
    <w:p>
      <w:pPr>
        <w:ind w:left="440" w:right="100" w:firstLine="443"/>
        <w:spacing w:after="0" w:line="277" w:lineRule="auto"/>
        <w:tabs>
          <w:tab w:leader="none" w:pos="113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such consolidation, merger or transfer and such supplemental indentures, if any, comply with this Indenture.</w:t>
      </w:r>
    </w:p>
    <w:p>
      <w:pPr>
        <w:spacing w:after="0" w:line="62" w:lineRule="exact"/>
        <w:rPr>
          <w:rFonts w:ascii="Arial" w:cs="Arial" w:eastAsia="Arial" w:hAnsi="Arial"/>
          <w:sz w:val="18"/>
          <w:szCs w:val="18"/>
          <w:color w:val="auto"/>
        </w:rPr>
      </w:pPr>
    </w:p>
    <w:p>
      <w:pPr>
        <w:ind w:left="-20" w:right="160" w:firstLine="921"/>
        <w:spacing w:after="0" w:line="277" w:lineRule="auto"/>
        <w:tabs>
          <w:tab w:leader="none" w:pos="114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Successor Company will succeed to, and be substituted for the Issuer under this Indenture, the Guarantees and the Notes, as applicable. Notwithstanding clauses (3) and (4) of Section 5.01(a) hereof,</w:t>
      </w:r>
    </w:p>
    <w:p>
      <w:pPr>
        <w:spacing w:after="0" w:line="62" w:lineRule="exact"/>
        <w:rPr>
          <w:sz w:val="20"/>
          <w:szCs w:val="20"/>
          <w:color w:val="auto"/>
        </w:rPr>
      </w:pPr>
    </w:p>
    <w:p>
      <w:pPr>
        <w:ind w:left="1140" w:hanging="257"/>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Restricted Subsidiary may consolidate with or merge into or transfer all or part of its properties and assets to the Issuer, and</w:t>
      </w:r>
    </w:p>
    <w:p>
      <w:pPr>
        <w:spacing w:after="0" w:line="117" w:lineRule="exact"/>
        <w:rPr>
          <w:rFonts w:ascii="Arial" w:cs="Arial" w:eastAsia="Arial" w:hAnsi="Arial"/>
          <w:sz w:val="18"/>
          <w:szCs w:val="18"/>
          <w:color w:val="auto"/>
        </w:rPr>
      </w:pPr>
    </w:p>
    <w:p>
      <w:pPr>
        <w:ind w:left="440" w:right="340" w:firstLine="443"/>
        <w:spacing w:after="0" w:line="312" w:lineRule="auto"/>
        <w:tabs>
          <w:tab w:leader="none" w:pos="113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Issuer may merge with an Affiliate of the Issuer solely for the purpose of reincorporating the Issuer in a State of the United States, the District of Columbia, any member state of the European Union on January 1, 2014, Canada or any province of Canada, Norway or Switzerland, Bermuda or any territory thereof so long as the amount of Indebtedness of the Company and its Restricted Subsidiaries is not increased thereby.</w:t>
      </w:r>
    </w:p>
    <w:p>
      <w:pPr>
        <w:spacing w:after="0" w:line="38" w:lineRule="exact"/>
        <w:rPr>
          <w:rFonts w:ascii="Arial" w:cs="Arial" w:eastAsia="Arial" w:hAnsi="Arial"/>
          <w:sz w:val="16"/>
          <w:szCs w:val="16"/>
          <w:color w:val="auto"/>
        </w:rPr>
      </w:pPr>
    </w:p>
    <w:p>
      <w:pPr>
        <w:ind w:left="-20" w:right="720" w:firstLine="921"/>
        <w:spacing w:after="0" w:line="264" w:lineRule="auto"/>
        <w:tabs>
          <w:tab w:leader="none" w:pos="113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Company may not consolidate, amalgamate or merge with or into or wind up into (whether or not the Company is the surviving corporation), or sell, assign, transfer, lease, convey or otherwise dispose of all or substantially all of its properties or assets, in one or more related transactions, to any Person unless:</w:t>
      </w:r>
    </w:p>
    <w:p>
      <w:pPr>
        <w:spacing w:after="0" w:line="73" w:lineRule="exact"/>
        <w:rPr>
          <w:sz w:val="20"/>
          <w:szCs w:val="20"/>
          <w:color w:val="auto"/>
        </w:rPr>
      </w:pPr>
    </w:p>
    <w:p>
      <w:pPr>
        <w:ind w:left="440" w:firstLine="443"/>
        <w:spacing w:after="0" w:line="276" w:lineRule="auto"/>
        <w:tabs>
          <w:tab w:leader="none" w:pos="1133"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Company is the surviving corporation or the Person formed by or surviving any such consolidation, amalgamation or merger (if other than the Company) or to which such sale, assignment, transfer, lease, conveyance or other disposition will have been made, is a Person organized or existing under the laws of the jurisdiction of organization of the Company or the laws of the United States, any state thereof, the District of Columbia, any member state of the European Union on January 1, 2014, Canada or any province of Canada, Norway, Switzerland, Bermuda or any territory thereof (such Person, as the case may be, being herein called the “</w:t>
      </w:r>
      <w:r>
        <w:rPr>
          <w:rFonts w:ascii="Arial" w:cs="Arial" w:eastAsia="Arial" w:hAnsi="Arial"/>
          <w:sz w:val="17"/>
          <w:szCs w:val="17"/>
          <w:u w:val="single" w:color="auto"/>
          <w:color w:val="auto"/>
        </w:rPr>
        <w:t>Successor Guarantor</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440" w:firstLine="443"/>
        <w:spacing w:after="0" w:line="255" w:lineRule="auto"/>
        <w:tabs>
          <w:tab w:leader="none" w:pos="113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Successor Guarantor, if other than the Company, expressly assumes all the obligations of the Company under this Indenture and the Notes pursuant to supplemental indentures or other documents or instruments and the performance of the covenants and obligations of the Company under the Collateral Documents relating to the Notes and shall cause such amendments, supplements, or other instruments to be executed, filed and recorded in such jurisdictions as may be required by applicable law to preserve and protect the Lien on the Collateral owned by or transferred to the Successor Guarantor, together with such financing statements or comparable documents as may be required to perfect any security interests in such Collateral which may be perfected by the filing of a financing statement or a similar document under the UCC or other similar statute or regulation of the relevant states or jurisdictions;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60" w:top="274" w:right="259" w:bottom="1440" w:gutter="0" w:footer="0" w:header="0"/>
        </w:sectPr>
      </w:pPr>
    </w:p>
    <w:bookmarkStart w:id="127" w:name="page128"/>
    <w:bookmarkEnd w:id="127"/>
    <w:p>
      <w:pPr>
        <w:ind w:left="1160" w:hanging="257"/>
        <w:spacing w:after="0"/>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after such transaction, no Default exists;</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immediately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transaction and any related financing transactions, as if such transactions had occurred at the beginning of the applicable four-quarter period,</w:t>
      </w:r>
    </w:p>
    <w:p>
      <w:pPr>
        <w:spacing w:after="0" w:line="62" w:lineRule="exact"/>
        <w:rPr>
          <w:rFonts w:ascii="Arial" w:cs="Arial" w:eastAsia="Arial" w:hAnsi="Arial"/>
          <w:sz w:val="18"/>
          <w:szCs w:val="18"/>
          <w:color w:val="auto"/>
        </w:rPr>
      </w:pPr>
    </w:p>
    <w:p>
      <w:pPr>
        <w:ind w:left="920" w:right="260" w:firstLine="421"/>
        <w:spacing w:after="0" w:line="277" w:lineRule="auto"/>
        <w:tabs>
          <w:tab w:leader="none" w:pos="1635" w:val="left"/>
        </w:tabs>
        <w:numPr>
          <w:ilvl w:val="2"/>
          <w:numId w:val="208"/>
        </w:numPr>
        <w:rPr>
          <w:rFonts w:ascii="Arial" w:cs="Arial" w:eastAsia="Arial" w:hAnsi="Arial"/>
          <w:sz w:val="18"/>
          <w:szCs w:val="18"/>
          <w:color w:val="auto"/>
        </w:rPr>
      </w:pPr>
      <w:r>
        <w:rPr>
          <w:rFonts w:ascii="Arial" w:cs="Arial" w:eastAsia="Arial" w:hAnsi="Arial"/>
          <w:sz w:val="18"/>
          <w:szCs w:val="18"/>
          <w:color w:val="auto"/>
        </w:rPr>
        <w:t>the Successor Guarantor or the Company would be permitted to incur at least $1.00 of additional Indebtedness pursuant to the Fixed Charge Coverage Test set forth in Section 4.09(a) hereof, or</w:t>
      </w:r>
    </w:p>
    <w:p>
      <w:pPr>
        <w:spacing w:after="0" w:line="62" w:lineRule="exact"/>
        <w:rPr>
          <w:rFonts w:ascii="Arial" w:cs="Arial" w:eastAsia="Arial" w:hAnsi="Arial"/>
          <w:sz w:val="18"/>
          <w:szCs w:val="18"/>
          <w:color w:val="auto"/>
        </w:rPr>
      </w:pPr>
    </w:p>
    <w:p>
      <w:pPr>
        <w:jc w:val="both"/>
        <w:ind w:left="920" w:right="80" w:firstLine="421"/>
        <w:spacing w:after="0" w:line="264" w:lineRule="auto"/>
        <w:tabs>
          <w:tab w:leader="none" w:pos="1625" w:val="left"/>
        </w:tabs>
        <w:numPr>
          <w:ilvl w:val="2"/>
          <w:numId w:val="208"/>
        </w:numPr>
        <w:rPr>
          <w:rFonts w:ascii="Arial" w:cs="Arial" w:eastAsia="Arial" w:hAnsi="Arial"/>
          <w:sz w:val="18"/>
          <w:szCs w:val="18"/>
          <w:color w:val="auto"/>
        </w:rPr>
      </w:pPr>
      <w:r>
        <w:rPr>
          <w:rFonts w:ascii="Arial" w:cs="Arial" w:eastAsia="Arial" w:hAnsi="Arial"/>
          <w:sz w:val="18"/>
          <w:szCs w:val="18"/>
          <w:color w:val="auto"/>
        </w:rPr>
        <w:t>the Fixed Charge Coverage Ratio for the Successor Guarantor or the Company, as applicable, and the Restricted Subsidiaries would be equal to or greater than the Fixed Charge Coverage Ratio for the Company and its Restricted Subsidiaries immediately prior to such transaction; and</w:t>
      </w:r>
    </w:p>
    <w:p>
      <w:pPr>
        <w:spacing w:after="0" w:line="73" w:lineRule="exact"/>
        <w:rPr>
          <w:rFonts w:ascii="Arial" w:cs="Arial" w:eastAsia="Arial" w:hAnsi="Arial"/>
          <w:sz w:val="18"/>
          <w:szCs w:val="18"/>
          <w:color w:val="auto"/>
        </w:rPr>
      </w:pPr>
    </w:p>
    <w:p>
      <w:pPr>
        <w:ind w:left="460" w:right="400" w:firstLine="443"/>
        <w:spacing w:after="0" w:line="277" w:lineRule="auto"/>
        <w:tabs>
          <w:tab w:leader="none" w:pos="115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such consolidation, amalgamation, merger or transfer and such supplemental indentures, if any, comply with this Indenture.</w:t>
      </w:r>
    </w:p>
    <w:p>
      <w:pPr>
        <w:spacing w:after="0" w:line="62" w:lineRule="exact"/>
        <w:rPr>
          <w:rFonts w:ascii="Arial" w:cs="Arial" w:eastAsia="Arial" w:hAnsi="Arial"/>
          <w:sz w:val="18"/>
          <w:szCs w:val="18"/>
          <w:color w:val="auto"/>
        </w:rPr>
      </w:pPr>
    </w:p>
    <w:p>
      <w:pPr>
        <w:ind w:right="840" w:firstLine="921"/>
        <w:spacing w:after="0" w:line="277" w:lineRule="auto"/>
        <w:tabs>
          <w:tab w:leader="none" w:pos="116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Successor Guarantor, if other than the Company, will succeed to, and be substituted for the Company under this Indenture, the Guarantees and the Notes, as applicable. Notwithstanding the clauses (3) and (4) of Section 5.01 (c) hereof,</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 any Restricted Subsidiary may consolidate or amalgamate with or merge into or transfer all or part of its properties and assets to the Company,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60" w:right="100" w:firstLine="443"/>
        <w:spacing w:after="0" w:line="259" w:lineRule="auto"/>
        <w:tabs>
          <w:tab w:leader="none" w:pos="115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may amalgamate or merge with its Affiliate solely for the purpose of reincorporating the Company in another jurisdiction (regardless of clause (1) of paragraph (c) above) so long as the amount of Indebtedness of the Company and its Restricted Subsidiaries is not increased thereby and so long as the surviving entity (if not the Company) assumes all of the Company’s obligations under this Indenture, the Notes and its Guarantee in connection with such reincorporation.</w:t>
      </w:r>
    </w:p>
    <w:p>
      <w:pPr>
        <w:spacing w:after="0" w:line="78" w:lineRule="exact"/>
        <w:rPr>
          <w:rFonts w:ascii="Arial" w:cs="Arial" w:eastAsia="Arial" w:hAnsi="Arial"/>
          <w:sz w:val="18"/>
          <w:szCs w:val="18"/>
          <w:color w:val="auto"/>
        </w:rPr>
      </w:pPr>
    </w:p>
    <w:p>
      <w:pPr>
        <w:jc w:val="both"/>
        <w:ind w:right="320" w:firstLine="921"/>
        <w:spacing w:after="0" w:line="259" w:lineRule="auto"/>
        <w:tabs>
          <w:tab w:leader="none" w:pos="115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Subject to Section 10.06 hereof, no Guarantor (other than the Company, subject to Section 5.01(c) above) will, and the Company will not permit any such Guarantor to, consolidate, amalgamate or merge with or into or wind up into (whether or not the Issuer or such Guarantor is the surviving corporation), or sell, assign, transfer, lease, convey or otherwise dispose of all or substantially all of its properties or assets, in one or more related transactions, to any Person unless:</w:t>
      </w:r>
    </w:p>
    <w:p>
      <w:pPr>
        <w:spacing w:after="0" w:line="79" w:lineRule="exact"/>
        <w:rPr>
          <w:sz w:val="20"/>
          <w:szCs w:val="20"/>
          <w:color w:val="auto"/>
        </w:rPr>
      </w:pPr>
    </w:p>
    <w:p>
      <w:pPr>
        <w:ind w:left="460" w:right="40" w:firstLine="443"/>
        <w:spacing w:after="0" w:line="276" w:lineRule="auto"/>
        <w:tabs>
          <w:tab w:leader="none" w:pos="115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 such Guarantor is the surviving corporation or the Person formed by or surviving any such consolidation, amalgamation or merger (if other than such Guarantor) or to which such sale, assignment, transfer, lease, conveyance or other disposition will have been made is a Person organized or existing under the laws of the jurisdiction of organization of such Guarantor, as the case may be, or the laws of the United States, any state thereof, the District of Columbia, any member state of the European Union on January 1, 2014, Canada or any province of Canada, Norway, Switzerland, Bermuda or any territory thereof (such Person being herein called the “</w:t>
      </w:r>
      <w:r>
        <w:rPr>
          <w:rFonts w:ascii="Arial" w:cs="Arial" w:eastAsia="Arial" w:hAnsi="Arial"/>
          <w:sz w:val="17"/>
          <w:szCs w:val="17"/>
          <w:u w:val="single" w:color="auto"/>
          <w:color w:val="auto"/>
        </w:rPr>
        <w:t>Successor Person</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460" w:right="260" w:firstLine="881"/>
        <w:spacing w:after="0" w:line="342" w:lineRule="auto"/>
        <w:tabs>
          <w:tab w:leader="none" w:pos="1621"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Successor Person, if other than such Guarantor, expressly assumes all the obligations of such Guarantor under this Indenture and such Guarantor’s related Guarantee pursuant to supplemental indentures or other documents or instruments and the performance of</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128" w:name="page129"/>
    <w:bookmarkEnd w:id="128"/>
    <w:p>
      <w:pPr>
        <w:ind w:left="4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covenants and obligations of such Guarantor under the Collateral Documents relating to the Notes and shall cause such amendments, supplements, or other instruments to be executed, filed and recorded in such jurisdictions as may be required by applicable law to preserve and protect the Lien on the Collateral owned by or transferred to the Successor Person, together with such financing statements or comparable documents as may be required to perfect any security interests in such Collateral which may be perfected by the filing of a financing statement or a similar document under the UCC or other similar statute or regulation of the relevant states or jurisdictions;</w:t>
      </w:r>
    </w:p>
    <w:p>
      <w:pPr>
        <w:spacing w:after="0" w:line="64" w:lineRule="exact"/>
        <w:rPr>
          <w:sz w:val="20"/>
          <w:szCs w:val="20"/>
          <w:color w:val="auto"/>
        </w:rPr>
      </w:pPr>
    </w:p>
    <w:p>
      <w:pPr>
        <w:ind w:left="1620" w:hanging="279"/>
        <w:spacing w:after="0"/>
        <w:tabs>
          <w:tab w:leader="none" w:pos="1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immediately after such transaction, no Default exists; and</w:t>
      </w:r>
    </w:p>
    <w:p>
      <w:pPr>
        <w:spacing w:after="0" w:line="117" w:lineRule="exact"/>
        <w:rPr>
          <w:rFonts w:ascii="Arial" w:cs="Arial" w:eastAsia="Arial" w:hAnsi="Arial"/>
          <w:sz w:val="18"/>
          <w:szCs w:val="18"/>
          <w:color w:val="auto"/>
        </w:rPr>
      </w:pPr>
    </w:p>
    <w:p>
      <w:pPr>
        <w:ind w:left="460" w:right="180" w:firstLine="881"/>
        <w:spacing w:after="0" w:line="277" w:lineRule="auto"/>
        <w:tabs>
          <w:tab w:leader="none" w:pos="1631"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such consolidation, amalgamation, merger or transfer and such supplemental indentures, if any, comply with this Indenture;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transaction is made in compliance with Section 4.10 hereof.</w:t>
      </w:r>
    </w:p>
    <w:p>
      <w:pPr>
        <w:spacing w:after="0" w:line="117" w:lineRule="exact"/>
        <w:rPr>
          <w:sz w:val="20"/>
          <w:szCs w:val="20"/>
          <w:color w:val="auto"/>
        </w:rPr>
      </w:pPr>
    </w:p>
    <w:p>
      <w:pPr>
        <w:ind w:right="240" w:firstLine="921"/>
        <w:spacing w:after="0" w:line="293" w:lineRule="auto"/>
        <w:tabs>
          <w:tab w:leader="none" w:pos="113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Subject to Section 10.06 hereof, the Successor Person will succeed to, and be substituted for, such Guarantor under this Indenture and such Guarantor’s Guarantee. Notwithstanding the foregoing, (x) any Guarantor (other than the Company, subject to Section 5.01(d) above) may merge or amalgamate into or transfer all or part of its properties and assets to the Company, the Issuer or any Guarantor and (y) any such Guarantor may merge or amalgamate with a Subsidiary of the Company solely for the purpose of reincorporating such Guarantor in another jurisdiction (regardless of clause (1) of paragraph (e) above) so long as the amount of Indebtedness of the Company and its Restricted Subsidiaries is not increased thereby and so long as the surviving entity (if not the Guarantor) assumes all of the Guarantor’s obligations under its Guarantee in connection with such reincorporation.</w:t>
      </w:r>
    </w:p>
    <w:p>
      <w:pPr>
        <w:spacing w:after="0" w:line="56" w:lineRule="exact"/>
        <w:rPr>
          <w:rFonts w:ascii="Arial" w:cs="Arial" w:eastAsia="Arial" w:hAnsi="Arial"/>
          <w:sz w:val="16"/>
          <w:szCs w:val="16"/>
          <w:color w:val="auto"/>
        </w:rPr>
      </w:pPr>
    </w:p>
    <w:p>
      <w:pPr>
        <w:ind w:right="400" w:firstLine="921"/>
        <w:spacing w:after="0" w:line="308" w:lineRule="auto"/>
        <w:tabs>
          <w:tab w:leader="none" w:pos="116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Company shall, directly or indirectly, at all times own 100% of the Equity Interests of the Issuer (other than Equity Interests held by employees of the Issuer or any Restricted Subsidiary as of the Issue Date and Equity Interests issued in exchange therefor).</w:t>
      </w:r>
    </w:p>
    <w:p>
      <w:pPr>
        <w:spacing w:after="0" w:line="147"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5"/>
          <w:szCs w:val="15"/>
          <w:u w:val="single" w:color="auto"/>
          <w:color w:val="auto"/>
        </w:rPr>
        <w:t>Successor Corporation Substituted</w:t>
      </w:r>
      <w:r>
        <w:rPr>
          <w:rFonts w:ascii="Arial" w:cs="Arial" w:eastAsia="Arial" w:hAnsi="Arial"/>
          <w:sz w:val="15"/>
          <w:szCs w:val="15"/>
          <w:color w:val="auto"/>
        </w:rPr>
        <w:t xml:space="preserve">. Upon any consolidation, amalgamation or merger, or any sale, assignment, transfer, lease, conveyance or other disposition of all or substantially all of the assets of the Issuer or a Guarantor in accordance with Section 5.01 hereof, the successor corporation formed by such consolidation or into or with which the Issuer or such Guarantor, as applicable, is merged, amalgamated or to which such sale, assignment, transfer, lease, conveyance or other disposition is made shall succeed to, and be substituted for (so that from and after the date of such consolidation, amalgamation, merger, sale, lease, conveyance or other disposition, the provisions of this Indenture referring to the Issuer or such Guarantor, as applicable, shall refer instead to the successor corporation and not to the Issuer or such Guarantor, as applicable), and may exercise every right and power of the Issuer or such Guarantor, as applicable, under this Indenture with the same effect as if such successor Person had been named as the Issuer or a Guarantor, as applicable, 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predecessor Issuer shall not be relieved from the obligation to pay the principal of and interest on the Notes except in the case of a sale, assignment, transfer, conveyance or other disposition of all of the Issuer’s assets that meets the requirements of Section 5.01 hereof.</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74" w:right="25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DEFAULTS AND REMEDIES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1160" w:hanging="257"/>
        <w:spacing w:after="0"/>
        <w:tabs>
          <w:tab w:leader="none" w:pos="11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default in payment when due and payable, upon redemption, acceleration or otherwise, of principal of, or premium, if any, on the Notes;</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default for 30 days or more in the payment when due of interest on or with respect to the Notes;</w:t>
      </w:r>
    </w:p>
    <w:p>
      <w:pPr>
        <w:spacing w:after="0" w:line="117" w:lineRule="exact"/>
        <w:rPr>
          <w:rFonts w:ascii="Arial" w:cs="Arial" w:eastAsia="Arial" w:hAnsi="Arial"/>
          <w:sz w:val="18"/>
          <w:szCs w:val="18"/>
          <w:color w:val="auto"/>
        </w:rPr>
      </w:pPr>
    </w:p>
    <w:p>
      <w:pPr>
        <w:ind w:left="460" w:right="40" w:firstLine="443"/>
        <w:spacing w:after="0" w:line="264" w:lineRule="auto"/>
        <w:tabs>
          <w:tab w:leader="none" w:pos="115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failure by the Company, the Issuer or any other Guarantor for 60 days after receipt of written notice given by the Trustee or the Holders of not less than 30% in principal amount of the Notes to comply with any of its obligations, covenants or agreements (other than a default referred to in clauses (1) and (2) above) contained in this Indenture or the Notes;</w:t>
      </w:r>
    </w:p>
    <w:p>
      <w:pPr>
        <w:spacing w:after="0" w:line="73"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is issued or by which there is secured or evidenced 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issuance of the Notes, if both:</w:t>
      </w:r>
    </w:p>
    <w:p>
      <w:pPr>
        <w:spacing w:after="0" w:line="78" w:lineRule="exact"/>
        <w:rPr>
          <w:rFonts w:ascii="Arial" w:cs="Arial" w:eastAsia="Arial" w:hAnsi="Arial"/>
          <w:sz w:val="18"/>
          <w:szCs w:val="18"/>
          <w:color w:val="auto"/>
        </w:rPr>
      </w:pPr>
    </w:p>
    <w:p>
      <w:pPr>
        <w:ind w:left="920" w:right="280" w:firstLine="421"/>
        <w:spacing w:after="0" w:line="312" w:lineRule="auto"/>
        <w:tabs>
          <w:tab w:leader="none" w:pos="163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maturity; and</w:t>
      </w:r>
    </w:p>
    <w:p>
      <w:pPr>
        <w:spacing w:after="0" w:line="38" w:lineRule="exact"/>
        <w:rPr>
          <w:rFonts w:ascii="Arial" w:cs="Arial" w:eastAsia="Arial" w:hAnsi="Arial"/>
          <w:sz w:val="16"/>
          <w:szCs w:val="16"/>
          <w:color w:val="auto"/>
        </w:rPr>
      </w:pPr>
    </w:p>
    <w:p>
      <w:pPr>
        <w:ind w:left="920" w:right="220" w:firstLine="421"/>
        <w:spacing w:after="0" w:line="264" w:lineRule="auto"/>
        <w:tabs>
          <w:tab w:leader="none" w:pos="162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principal amount of such Indebtedness, together with the principal amount of any other such Indebtedness in default for failure to pay principal at stated final maturity (after giving effect to any applicable grace periods), or the maturity of which has been so accelerated, aggregate $50.0 million or more at any one time outstanding;</w:t>
      </w:r>
    </w:p>
    <w:p>
      <w:pPr>
        <w:spacing w:after="0" w:line="73" w:lineRule="exact"/>
        <w:rPr>
          <w:rFonts w:ascii="Arial" w:cs="Arial" w:eastAsia="Arial" w:hAnsi="Arial"/>
          <w:sz w:val="18"/>
          <w:szCs w:val="18"/>
          <w:color w:val="auto"/>
        </w:rPr>
      </w:pPr>
    </w:p>
    <w:p>
      <w:pPr>
        <w:jc w:val="both"/>
        <w:ind w:left="460" w:right="60" w:firstLine="443"/>
        <w:spacing w:after="0" w:line="259" w:lineRule="auto"/>
        <w:tabs>
          <w:tab w:leader="none" w:pos="115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failure by the Company or any Significant Subsidiary (or any group of Subsidiaries that together would constitute a Significant Subsidiary) to pay final judgments aggregating in excess of $50.0 million,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w:t>
      </w:r>
    </w:p>
    <w:p>
      <w:pPr>
        <w:spacing w:after="0" w:line="78" w:lineRule="exact"/>
        <w:rPr>
          <w:rFonts w:ascii="Arial" w:cs="Arial" w:eastAsia="Arial" w:hAnsi="Arial"/>
          <w:sz w:val="18"/>
          <w:szCs w:val="18"/>
          <w:color w:val="auto"/>
        </w:rPr>
      </w:pPr>
    </w:p>
    <w:p>
      <w:pPr>
        <w:ind w:left="460" w:right="380" w:firstLine="443"/>
        <w:spacing w:after="0" w:line="308" w:lineRule="auto"/>
        <w:tabs>
          <w:tab w:leader="none" w:pos="115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Company, the Issuer or any of its Restricted Subsidiaries that is a Significant Subsidiary (or any group of Restricted Subsidiaries that, taken together, would constitute a Significant Subsidiary), pursuant to or within the meaning of any Bankruptcy Law:</w:t>
      </w:r>
    </w:p>
    <w:p>
      <w:pPr>
        <w:spacing w:after="0" w:line="38" w:lineRule="exact"/>
        <w:rPr>
          <w:sz w:val="20"/>
          <w:szCs w:val="20"/>
          <w:color w:val="auto"/>
        </w:rPr>
      </w:pPr>
    </w:p>
    <w:p>
      <w:pPr>
        <w:ind w:left="1560" w:hanging="219"/>
        <w:spacing w:after="0"/>
        <w:tabs>
          <w:tab w:leader="none" w:pos="15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117" w:lineRule="exact"/>
        <w:rPr>
          <w:rFonts w:ascii="Arial" w:cs="Arial" w:eastAsia="Arial" w:hAnsi="Arial"/>
          <w:sz w:val="18"/>
          <w:szCs w:val="18"/>
          <w:color w:val="auto"/>
        </w:rPr>
      </w:pPr>
    </w:p>
    <w:p>
      <w:pPr>
        <w:ind w:left="920" w:right="520" w:firstLine="421"/>
        <w:spacing w:after="0" w:line="277" w:lineRule="auto"/>
        <w:tabs>
          <w:tab w:leader="none" w:pos="160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reorganization or relief under applicable Bankruptcy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130" w:name="page131"/>
    <w:bookmarkEnd w:id="130"/>
    <w:p>
      <w:pPr>
        <w:ind w:left="920" w:right="880" w:firstLine="421"/>
        <w:spacing w:after="0" w:line="277" w:lineRule="auto"/>
        <w:tabs>
          <w:tab w:leader="none" w:pos="1655" w:val="left"/>
        </w:tabs>
        <w:numPr>
          <w:ilvl w:val="1"/>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consents to the appointment of a receiver, liquidator, assignee, trustee, sequestrator or other similar official of it or for all or substantially all of its property;</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sz w:val="20"/>
          <w:szCs w:val="20"/>
          <w:color w:val="auto"/>
        </w:rPr>
      </w:pPr>
    </w:p>
    <w:p>
      <w:pPr>
        <w:ind w:left="460" w:right="100" w:firstLine="443"/>
        <w:spacing w:after="0" w:line="259" w:lineRule="auto"/>
        <w:tabs>
          <w:tab w:leader="none" w:pos="111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is for relief against the Company, the Issuer or any of its Restricted Subsidiaries that is a Significant Subsidiary (or any group of Restricted Subsidiaries that, taken together, would constitute a Significant Subsidiary), in a proceeding in which the Company, the Issuer or any such Restricted Subsidiaries, that is a Significant Subsidiary (or any group of Restricted Subsidiaries that, taken together, would constitute a Significant Subsidiary), is to be adjudicated bankrupt or insolvent;</w:t>
      </w:r>
    </w:p>
    <w:p>
      <w:pPr>
        <w:spacing w:after="0" w:line="78" w:lineRule="exact"/>
        <w:rPr>
          <w:rFonts w:ascii="Arial" w:cs="Arial" w:eastAsia="Arial" w:hAnsi="Arial"/>
          <w:sz w:val="18"/>
          <w:szCs w:val="18"/>
          <w:color w:val="auto"/>
        </w:rPr>
      </w:pPr>
    </w:p>
    <w:p>
      <w:pPr>
        <w:ind w:left="460" w:right="120" w:firstLine="443"/>
        <w:spacing w:after="0" w:line="259" w:lineRule="auto"/>
        <w:tabs>
          <w:tab w:leader="none" w:pos="116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appoints a receiver, liquidator, assignee, trustee, sequestrator or other similar official of the Company, the Issuer or any of its Restricted Subsidiaries that is a Significant Subsidiary (or any group of Restricted Subsidiaries that, taken together, would constitute a Significant Subsidiary), or for all or substantially all of the property of the Company, the Issuer or any of its Restricted Subsidiaries that is a Significant Subsidiary (or any group of Restricted Subsidiaries that, taken together, would constitute a Significant Subsidiary); or</w:t>
      </w:r>
    </w:p>
    <w:p>
      <w:pPr>
        <w:spacing w:after="0" w:line="78" w:lineRule="exact"/>
        <w:rPr>
          <w:rFonts w:ascii="Arial" w:cs="Arial" w:eastAsia="Arial" w:hAnsi="Arial"/>
          <w:sz w:val="18"/>
          <w:szCs w:val="18"/>
          <w:color w:val="auto"/>
        </w:rPr>
      </w:pPr>
    </w:p>
    <w:p>
      <w:pPr>
        <w:ind w:left="460" w:right="600" w:firstLine="443"/>
        <w:spacing w:after="0" w:line="277" w:lineRule="auto"/>
        <w:tabs>
          <w:tab w:leader="none" w:pos="121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orders the liquidation of the Company, the Issuer or any of its Restricted Subsidiaries that is a Significant Subsidiary (or any group of Restricted Subsidiaries that, taken together, would constitute a Significant Subsidiary);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117" w:lineRule="exact"/>
        <w:rPr>
          <w:sz w:val="20"/>
          <w:szCs w:val="20"/>
          <w:color w:val="auto"/>
        </w:rPr>
      </w:pPr>
    </w:p>
    <w:p>
      <w:pPr>
        <w:ind w:left="460" w:right="120" w:firstLine="443"/>
        <w:spacing w:after="0" w:line="297" w:lineRule="auto"/>
        <w:tabs>
          <w:tab w:leader="none" w:pos="115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Guarantee of any Restricted Parent Guarantor or Significant Subsidiary (or any group of Subsidiaries that together would constitute a Significant Subsidiary) shall for any reason cease to be in full force and effect or be declared null and void or any responsible officer of any Restricted Parent Guarantor or any Guarantor that is a Significant Subsidiary (or the responsible officers of any group of Subsidiaries that together would constitute a Significant Subsidiary), as the case may be, denies that it has any further liability under its Guarantee or gives notice to such effect, other than by reason of the termination of this Indenture or the release of any such Guarantee in accordance with this Indenture; or</w:t>
      </w:r>
    </w:p>
    <w:p>
      <w:pPr>
        <w:spacing w:after="0" w:line="50" w:lineRule="exact"/>
        <w:rPr>
          <w:rFonts w:ascii="Arial" w:cs="Arial" w:eastAsia="Arial" w:hAnsi="Arial"/>
          <w:sz w:val="16"/>
          <w:szCs w:val="16"/>
          <w:color w:val="auto"/>
        </w:rPr>
      </w:pPr>
    </w:p>
    <w:p>
      <w:pPr>
        <w:ind w:left="460" w:firstLine="443"/>
        <w:spacing w:after="0" w:line="271" w:lineRule="auto"/>
        <w:tabs>
          <w:tab w:leader="none" w:pos="115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Liens created by the Collateral Documents relating to the Notes shall not constitute a valid and perfected Lien on any portion of the Collateral with a fair market value or book value equal to or more than $25.0 million intended to be covered thereby (to the extent perfection is required by the First Lien Debt Documents) except as otherwise permitted by the terms of this Indenture or the relevant First Lien Debt Documents and other than the satisfaction in full of all obligations of the Issuer and the Guarantors under this Indenture or the release or amendment of any such Lien in accordance with the terms of the First Lien Debt Documents, or, except for expiration in accordance with its terms or amendment, modification, waiver, termination or release in accordance with the terms of the First Lien Debt Documents, any of the Collateral Documents relating to the Notes shall for whatever reason be terminated or cease to be in full force and effect, if, in either case, such default continues for 60 days after notice, or the enforceability thereof shall be contested by the Issuer or any Guarantor, except to the extent that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31" w:name="page132"/>
    <w:bookmarkEnd w:id="131"/>
    <w:p>
      <w:pPr>
        <w:ind w:left="46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loss of perfection or priority results from the failure of the Collateral Agent to make filings, renewals and continuations (or other equivalent filings) or take other appropriate action or the failure of the Collateral Agent to maintain possession of certificates, instruments or other documents actually delivered to it representing securities pledged or other possessory collateral pledged under the applicable Collateral Documents relating to the Notes.</w:t>
      </w:r>
    </w:p>
    <w:p>
      <w:pPr>
        <w:spacing w:after="0" w:line="18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Acceleration</w:t>
      </w:r>
      <w:r>
        <w:rPr>
          <w:rFonts w:ascii="Arial" w:cs="Arial" w:eastAsia="Arial" w:hAnsi="Arial"/>
          <w:sz w:val="16"/>
          <w:szCs w:val="16"/>
          <w:color w:val="auto"/>
        </w:rPr>
        <w:t>. If any Event of Default (other than an Event of Default specified in clause (6) or (7) of Section 6.01 hereof) occurs and is continuing under this Indenture, the Trustee, upon receipt of actual written notice of a default, or the Holders of at least 30% in principal amount of the then total outstanding Notes may declare the principal, premium, if any, interest and any other monetary obligations on all the then outstanding Notes to be due and payable immediately. Upon the effectiveness of such declaration, such principal and interest shall be due and payable immediately. The Trustee shall have no obligation to accelerate the Notes if it believes in good faith that acceleration is not in the best interests of the Holders of the Notes.</w:t>
      </w:r>
    </w:p>
    <w:p>
      <w:pPr>
        <w:spacing w:after="0" w:line="158"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Notwithstanding the foregoing, in the case of an Event of Default arising under clause (6) or (7) of Section 6.01 hereof, all outstanding Notes shall be due and payable immediately without further action or notice.</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Holders of a majority in aggregate principal amount of the then outstanding Notes by written notice to the Trustee may on behalf of all of the Holders of all of the Notes rescind any acceleration with respect to the Notes and its consequences if such rescission would not conflict with any judgment or decree of a court of competent jurisdiction and if all existing Events of Default (except nonpayment of principal, interest or premium that has become due solely because of the acceleration) have been cured or waived.</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In the event of any Event of Default specified in clause (4) of Section 6.01 hereof, such Event of Default and all consequences thereof (excluding any resulting payment default, other than as a result of acceleration of the Notes) shall be annulled, waived and rescinded, automatically and without any action by the Trustee or the Holders, if within 20 days after such Event of Default arose:</w:t>
      </w:r>
    </w:p>
    <w:p>
      <w:pPr>
        <w:spacing w:after="0" w:line="73" w:lineRule="exact"/>
        <w:rPr>
          <w:sz w:val="20"/>
          <w:szCs w:val="20"/>
          <w:color w:val="auto"/>
        </w:rPr>
      </w:pPr>
    </w:p>
    <w:p>
      <w:pPr>
        <w:ind w:left="1160" w:hanging="257"/>
        <w:spacing w:after="0"/>
        <w:tabs>
          <w:tab w:leader="none" w:pos="11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Indebtedness or guarantee that is the basis for such Event of Default has been discharged;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holders thereof have rescinded or waived the acceleration, notice or action (as the case may be) giving rise to such Event of Default; or</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default that is the basis for such Event of Default has been cured.</w:t>
      </w:r>
    </w:p>
    <w:p>
      <w:pPr>
        <w:spacing w:after="0" w:line="225"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Other Remedies</w:t>
      </w:r>
      <w:r>
        <w:rPr>
          <w:rFonts w:ascii="Arial" w:cs="Arial" w:eastAsia="Arial" w:hAnsi="Arial"/>
          <w:sz w:val="16"/>
          <w:szCs w:val="16"/>
          <w:color w:val="auto"/>
        </w:rPr>
        <w:t>. 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24" w:lineRule="exact"/>
        <w:rPr>
          <w:sz w:val="20"/>
          <w:szCs w:val="20"/>
          <w:color w:val="auto"/>
        </w:rPr>
      </w:pPr>
    </w:p>
    <w:p>
      <w:pPr>
        <w:jc w:val="both"/>
        <w:ind w:right="140" w:firstLine="913"/>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74" w:right="259" w:bottom="1440" w:gutter="0" w:footer="0" w:header="0"/>
        </w:sectPr>
      </w:pPr>
    </w:p>
    <w:bookmarkStart w:id="132" w:name="page133"/>
    <w:bookmarkEnd w:id="132"/>
    <w:p>
      <w:pPr>
        <w:ind w:right="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6.04.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Subject to Section 6.02 hereof, Holders of not less than a majority in aggregate principal amount of the then outstanding Notes by notice to the Trustee may on behalf of the Holders of all of the Notes waive any existing Default and its consequences hereunder (except a continuing Default in the payment of the principal of, premium, if any, or interest on, any Note held by a non-consenting Holder) (including in connection with an Asset Sale Offer or a Change of Control Offer).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93"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Control by Majority</w:t>
      </w:r>
      <w:r>
        <w:rPr>
          <w:rFonts w:ascii="Arial" w:cs="Arial" w:eastAsia="Arial" w:hAnsi="Arial"/>
          <w:sz w:val="17"/>
          <w:szCs w:val="17"/>
          <w:color w:val="auto"/>
        </w:rPr>
        <w:t>. Holders of a majority in principal amount of the then total outstanding Notes may direct the time, method and place of conducting any proceeding for any remedy available to the Trustee or of exercising any trust or power conferred on the Trustee without any liability to the Trustee. The Trustee, however, may refuse to follow any direction that conflicts with law or this Indenture or that the Trustee determines is unduly prejudicial to the rights of any other Holder of a Note or that would involve the Trustee in personal liability.</w:t>
      </w:r>
    </w:p>
    <w:p>
      <w:pPr>
        <w:spacing w:after="0" w:line="17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Subject to Section 6.07 hereof, no Holder of a Note may pursue any remedy with respect to this Indenture or the Notes unless:</w:t>
      </w:r>
    </w:p>
    <w:p>
      <w:pPr>
        <w:spacing w:after="0" w:line="62" w:lineRule="exact"/>
        <w:rPr>
          <w:sz w:val="20"/>
          <w:szCs w:val="20"/>
          <w:color w:val="auto"/>
        </w:rPr>
      </w:pPr>
    </w:p>
    <w:p>
      <w:pPr>
        <w:ind w:left="1160" w:hanging="257"/>
        <w:spacing w:after="0"/>
        <w:tabs>
          <w:tab w:leader="none" w:pos="11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Holders of at least 30% in principal amount of the total outstanding Notes have requested the Trustee to pursue the remedy;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Holders of the Notes have offered the Trustee security or indemnity satisfactory to it against any loss, liability or expense;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Trustee has not complied with such request within 60 days after the receipt thereof and the offer of security or indemnity; and</w:t>
      </w:r>
    </w:p>
    <w:p>
      <w:pPr>
        <w:spacing w:after="0" w:line="128" w:lineRule="exact"/>
        <w:rPr>
          <w:rFonts w:ascii="Arial" w:cs="Arial" w:eastAsia="Arial" w:hAnsi="Arial"/>
          <w:sz w:val="17"/>
          <w:szCs w:val="17"/>
          <w:color w:val="auto"/>
        </w:rPr>
      </w:pPr>
    </w:p>
    <w:p>
      <w:pPr>
        <w:ind w:left="460" w:right="80" w:firstLine="443"/>
        <w:spacing w:after="0" w:line="277" w:lineRule="auto"/>
        <w:tabs>
          <w:tab w:leader="none" w:pos="115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Holders of a majority in principal amount of the total outstanding Notes have not given the Trustee a direction inconsistent with such request within such 60-day period.</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Rights of Holders of Notes to Receive Payment</w:t>
      </w:r>
      <w:r>
        <w:rPr>
          <w:rFonts w:ascii="Arial" w:cs="Arial" w:eastAsia="Arial" w:hAnsi="Arial"/>
          <w:sz w:val="18"/>
          <w:szCs w:val="18"/>
          <w:color w:val="auto"/>
        </w:rPr>
        <w:t>. Notwithstanding any other provision of this Indenture, the right of any Holder of a Note to receive payment of principal of, premium, if any, and interest on the Note, on or after the respective due dates expressed in the Note (including in connection with an Asset Sale Offer or a Change of Control Offer), or to bring suit for the enforcement of any such payment on or after such respective dates, shall not be impaired or affected without the consent of such Holder.</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Collection Suit by Trustee</w:t>
      </w:r>
      <w:r>
        <w:rPr>
          <w:rFonts w:ascii="Arial" w:cs="Arial" w:eastAsia="Arial" w:hAnsi="Arial"/>
          <w:sz w:val="18"/>
          <w:szCs w:val="18"/>
          <w:color w:val="auto"/>
        </w:rPr>
        <w:t>. If an Event of Default specified in Section 6.01(1) or (2) hereof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274" w:right="279" w:bottom="1440" w:gutter="0" w:footer="0" w:header="0"/>
        </w:sectPr>
      </w:pPr>
    </w:p>
    <w:bookmarkStart w:id="133" w:name="page134"/>
    <w:bookmarkEnd w:id="133"/>
    <w:p>
      <w:pPr>
        <w:ind w:right="16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8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Rights and Remedies Cumulative</w:t>
      </w:r>
      <w:r>
        <w:rPr>
          <w:rFonts w:ascii="Arial" w:cs="Arial" w:eastAsia="Arial" w:hAnsi="Arial"/>
          <w:sz w:val="17"/>
          <w:szCs w:val="17"/>
          <w:color w:val="auto"/>
        </w:rPr>
        <w:t>. Except as otherwise provided with respect to the replacement or payment of mutilated, destroyed, lost or stolen Notes in Section 2.07 hereof,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including the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 hereof. To the extent that the payment of any such compensation, expenses, disbursements and advances of the Trustee, its agents and counsel, and any other amounts due the Trustee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74" w:right="259" w:bottom="1440" w:gutter="0" w:footer="0" w:header="0"/>
        </w:sectPr>
      </w:pPr>
    </w:p>
    <w:bookmarkStart w:id="134" w:name="page135"/>
    <w:bookmarkEnd w:id="13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6.13. </w:t>
      </w:r>
      <w:r>
        <w:rPr>
          <w:rFonts w:ascii="Arial" w:cs="Arial" w:eastAsia="Arial" w:hAnsi="Arial"/>
          <w:sz w:val="16"/>
          <w:szCs w:val="16"/>
          <w:u w:val="single" w:color="auto"/>
          <w:color w:val="auto"/>
        </w:rPr>
        <w:t>Priorities</w:t>
      </w:r>
      <w:r>
        <w:rPr>
          <w:rFonts w:ascii="Arial" w:cs="Arial" w:eastAsia="Arial" w:hAnsi="Arial"/>
          <w:sz w:val="16"/>
          <w:szCs w:val="16"/>
          <w:color w:val="auto"/>
        </w:rPr>
        <w:t>. If the Trustee or any Agent collects any money pursuant to this Article 6, it shall pay out the money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order:</w:t>
      </w:r>
    </w:p>
    <w:p>
      <w:pPr>
        <w:spacing w:after="0" w:line="103" w:lineRule="exact"/>
        <w:rPr>
          <w:sz w:val="20"/>
          <w:szCs w:val="20"/>
          <w:color w:val="auto"/>
        </w:rPr>
      </w:pPr>
    </w:p>
    <w:p>
      <w:pPr>
        <w:ind w:left="460" w:right="360" w:firstLine="443"/>
        <w:spacing w:after="0" w:line="342" w:lineRule="auto"/>
        <w:tabs>
          <w:tab w:leader="none" w:pos="111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to the Trustee, such Agent, their agents and attorneys for amounts due under Section 7.06 hereof, including payment of all compensation, expenses and liabilities incurred, and all advances made, by the Trustee or such Agent and the costs and expenses of collection;</w:t>
      </w:r>
    </w:p>
    <w:p>
      <w:pPr>
        <w:spacing w:after="0" w:line="15" w:lineRule="exact"/>
        <w:rPr>
          <w:rFonts w:ascii="Arial" w:cs="Arial" w:eastAsia="Arial" w:hAnsi="Arial"/>
          <w:sz w:val="16"/>
          <w:szCs w:val="16"/>
          <w:color w:val="auto"/>
        </w:rPr>
      </w:pPr>
    </w:p>
    <w:p>
      <w:pPr>
        <w:ind w:left="460" w:right="460" w:firstLine="443"/>
        <w:spacing w:after="0" w:line="342" w:lineRule="auto"/>
        <w:tabs>
          <w:tab w:leader="none" w:pos="116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5" w:lineRule="exact"/>
        <w:rPr>
          <w:rFonts w:ascii="Arial" w:cs="Arial" w:eastAsia="Arial" w:hAnsi="Arial"/>
          <w:sz w:val="16"/>
          <w:szCs w:val="16"/>
          <w:color w:val="auto"/>
        </w:rPr>
      </w:pPr>
    </w:p>
    <w:p>
      <w:pPr>
        <w:ind w:left="1220" w:hanging="317"/>
        <w:spacing w:after="0"/>
        <w:tabs>
          <w:tab w:leader="none" w:pos="12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the Issuer or to such party as a court of competent jurisdiction shall direct including a Guarantor,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6.13.</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6.14 does not apply to a suit by the Trustee, a suit by a Holder of a Note pursuant to Section 6.07 hereof, or a suit by Holders of more than 10% in principal amount of the then outstanding Notes.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TRUSTEE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jc w:val="both"/>
        <w:ind w:right="160" w:firstLine="921"/>
        <w:spacing w:after="0" w:line="264" w:lineRule="auto"/>
        <w:tabs>
          <w:tab w:leader="none" w:pos="115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11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3" w:lineRule="exact"/>
        <w:rPr>
          <w:rFonts w:ascii="Arial" w:cs="Arial" w:eastAsia="Arial" w:hAnsi="Arial"/>
          <w:sz w:val="18"/>
          <w:szCs w:val="18"/>
          <w:color w:val="auto"/>
        </w:rPr>
      </w:pPr>
    </w:p>
    <w:p>
      <w:pPr>
        <w:jc w:val="both"/>
        <w:ind w:left="460" w:right="100" w:firstLine="443"/>
        <w:spacing w:after="0" w:line="279" w:lineRule="auto"/>
        <w:tabs>
          <w:tab w:leader="none" w:pos="1163"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w:t>
      </w:r>
    </w:p>
    <w:p>
      <w:pPr>
        <w:spacing w:after="0" w:line="171" w:lineRule="exact"/>
        <w:rPr>
          <w:rFonts w:ascii="Arial" w:cs="Arial" w:eastAsia="Arial" w:hAnsi="Arial"/>
          <w:sz w:val="17"/>
          <w:szCs w:val="17"/>
          <w:color w:val="auto"/>
        </w:rPr>
      </w:pPr>
    </w:p>
    <w:p>
      <w:pPr>
        <w:ind w:left="1160" w:hanging="239"/>
        <w:spacing w:after="0"/>
        <w:tabs>
          <w:tab w:leader="none" w:pos="116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 misconduct,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 that: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274" w:right="299" w:bottom="1440" w:gutter="0" w:footer="0" w:header="0"/>
        </w:sectPr>
      </w:pPr>
    </w:p>
    <w:bookmarkStart w:id="135" w:name="page136"/>
    <w:bookmarkEnd w:id="135"/>
    <w:p>
      <w:pPr>
        <w:ind w:left="1080" w:hanging="217"/>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paragraph does not limit the effect of paragraph (b) of this Section 7.01;</w:t>
      </w:r>
    </w:p>
    <w:p>
      <w:pPr>
        <w:spacing w:after="0" w:line="117" w:lineRule="exact"/>
        <w:rPr>
          <w:rFonts w:ascii="Arial" w:cs="Arial" w:eastAsia="Arial" w:hAnsi="Arial"/>
          <w:sz w:val="18"/>
          <w:szCs w:val="18"/>
          <w:color w:val="auto"/>
        </w:rPr>
      </w:pPr>
    </w:p>
    <w:p>
      <w:pPr>
        <w:ind w:left="420" w:right="260" w:firstLine="443"/>
        <w:spacing w:after="0" w:line="277" w:lineRule="auto"/>
        <w:tabs>
          <w:tab w:leader="none" w:pos="112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unless it is proved in a court of competent jurisdiction that the Trustee was negligent in ascertaining the pertinent facts; and</w:t>
      </w:r>
    </w:p>
    <w:p>
      <w:pPr>
        <w:spacing w:after="0" w:line="62" w:lineRule="exact"/>
        <w:rPr>
          <w:rFonts w:ascii="Arial" w:cs="Arial" w:eastAsia="Arial" w:hAnsi="Arial"/>
          <w:sz w:val="18"/>
          <w:szCs w:val="18"/>
          <w:color w:val="auto"/>
        </w:rPr>
      </w:pPr>
    </w:p>
    <w:p>
      <w:pPr>
        <w:ind w:left="420" w:right="220" w:firstLine="443"/>
        <w:spacing w:after="0" w:line="277" w:lineRule="auto"/>
        <w:tabs>
          <w:tab w:leader="none" w:pos="117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6.02, 6.04 or 6.05 hereof.</w:t>
      </w:r>
    </w:p>
    <w:p>
      <w:pPr>
        <w:spacing w:after="0" w:line="170" w:lineRule="exact"/>
        <w:rPr>
          <w:rFonts w:ascii="Arial" w:cs="Arial" w:eastAsia="Arial" w:hAnsi="Arial"/>
          <w:sz w:val="18"/>
          <w:szCs w:val="18"/>
          <w:color w:val="auto"/>
        </w:rPr>
      </w:pPr>
    </w:p>
    <w:p>
      <w:pPr>
        <w:ind w:left="-40" w:right="80" w:firstLine="921"/>
        <w:spacing w:after="0" w:line="277" w:lineRule="auto"/>
        <w:tabs>
          <w:tab w:leader="none" w:pos="112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jc w:val="both"/>
        <w:ind w:left="-40" w:right="220" w:firstLine="921"/>
        <w:spacing w:after="0" w:line="342" w:lineRule="auto"/>
        <w:tabs>
          <w:tab w:leader="none" w:pos="111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its rights or powers under this Indenture at the request or direction of any of the Holders of the Notes unless the Holders have offered to the Trustee indemnity or security reasonably satisfactory to it against any loss, liability or expense.</w:t>
      </w:r>
    </w:p>
    <w:p>
      <w:pPr>
        <w:spacing w:after="0" w:line="123" w:lineRule="exact"/>
        <w:rPr>
          <w:rFonts w:ascii="Arial" w:cs="Arial" w:eastAsia="Arial" w:hAnsi="Arial"/>
          <w:sz w:val="16"/>
          <w:szCs w:val="16"/>
          <w:color w:val="auto"/>
        </w:rPr>
      </w:pPr>
    </w:p>
    <w:p>
      <w:pPr>
        <w:ind w:left="-40" w:firstLine="921"/>
        <w:spacing w:after="0" w:line="277" w:lineRule="auto"/>
        <w:tabs>
          <w:tab w:leader="none" w:pos="109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left="-40" w:right="40" w:firstLine="921"/>
        <w:spacing w:after="0" w:line="276" w:lineRule="auto"/>
        <w:tabs>
          <w:tab w:leader="none" w:pos="111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and its Restricted Subsidiaries, personally or by agent or attorney at the sole cost of the Issuer and shall incur no liability or additional liability of any kind by reason of such inquiry or investigation.</w:t>
      </w:r>
    </w:p>
    <w:p>
      <w:pPr>
        <w:spacing w:after="0" w:line="64" w:lineRule="exact"/>
        <w:rPr>
          <w:rFonts w:ascii="Arial" w:cs="Arial" w:eastAsia="Arial" w:hAnsi="Arial"/>
          <w:sz w:val="17"/>
          <w:szCs w:val="17"/>
          <w:color w:val="auto"/>
        </w:rPr>
      </w:pPr>
    </w:p>
    <w:p>
      <w:pPr>
        <w:ind w:left="-40" w:right="60" w:firstLine="921"/>
        <w:spacing w:after="0" w:line="302" w:lineRule="auto"/>
        <w:tabs>
          <w:tab w:leader="none" w:pos="112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of the Issuer or the Company or an Opinion of Counsel or both. The Trustee shall not be liable for any action it takes or omits to take in good faith in reliance on such Officer’s Certificate or Opinion of Counsel. The Trustee may consult with counsel of its selection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46" w:lineRule="exact"/>
        <w:rPr>
          <w:rFonts w:ascii="Arial" w:cs="Arial" w:eastAsia="Arial" w:hAnsi="Arial"/>
          <w:sz w:val="16"/>
          <w:szCs w:val="16"/>
          <w:color w:val="auto"/>
        </w:rPr>
      </w:pPr>
    </w:p>
    <w:p>
      <w:pPr>
        <w:ind w:left="-40" w:right="180" w:firstLine="921"/>
        <w:spacing w:after="0" w:line="277" w:lineRule="auto"/>
        <w:tabs>
          <w:tab w:leader="none" w:pos="111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or attorney appointed with due care.</w:t>
      </w:r>
    </w:p>
    <w:p>
      <w:pPr>
        <w:spacing w:after="0" w:line="62" w:lineRule="exact"/>
        <w:rPr>
          <w:rFonts w:ascii="Arial" w:cs="Arial" w:eastAsia="Arial" w:hAnsi="Arial"/>
          <w:sz w:val="18"/>
          <w:szCs w:val="18"/>
          <w:color w:val="auto"/>
        </w:rPr>
      </w:pPr>
    </w:p>
    <w:p>
      <w:pPr>
        <w:ind w:left="-40" w:right="380" w:firstLine="921"/>
        <w:spacing w:after="0" w:line="277" w:lineRule="auto"/>
        <w:tabs>
          <w:tab w:leader="none" w:pos="112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62" w:lineRule="exact"/>
        <w:rPr>
          <w:rFonts w:ascii="Arial" w:cs="Arial" w:eastAsia="Arial" w:hAnsi="Arial"/>
          <w:sz w:val="18"/>
          <w:szCs w:val="18"/>
          <w:color w:val="auto"/>
        </w:rPr>
      </w:pPr>
    </w:p>
    <w:p>
      <w:pPr>
        <w:ind w:left="-40" w:right="80" w:firstLine="921"/>
        <w:spacing w:after="0" w:line="277" w:lineRule="auto"/>
        <w:tabs>
          <w:tab w:leader="none" w:pos="111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Issuer shall be sufficient if signed by an Officer of the Issuer.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80" w:top="274" w:right="279" w:bottom="1440" w:gutter="0" w:footer="0" w:header="0"/>
        </w:sectPr>
      </w:pPr>
    </w:p>
    <w:bookmarkStart w:id="136" w:name="page137"/>
    <w:bookmarkEnd w:id="136"/>
    <w:p>
      <w:pPr>
        <w:ind w:right="100" w:firstLine="921"/>
        <w:spacing w:after="0" w:line="264" w:lineRule="auto"/>
        <w:tabs>
          <w:tab w:leader="none" w:pos="1138" w:val="left"/>
        </w:tabs>
        <w:numPr>
          <w:ilvl w:val="0"/>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73" w:lineRule="exact"/>
        <w:rPr>
          <w:rFonts w:ascii="Arial" w:cs="Arial" w:eastAsia="Arial" w:hAnsi="Arial"/>
          <w:sz w:val="18"/>
          <w:szCs w:val="18"/>
          <w:color w:val="auto"/>
        </w:rPr>
      </w:pPr>
    </w:p>
    <w:p>
      <w:pPr>
        <w:ind w:right="120" w:firstLine="921"/>
        <w:spacing w:after="0" w:line="264" w:lineRule="auto"/>
        <w:tabs>
          <w:tab w:leader="none" w:pos="116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written notice of any event which is in fact such a Default is received by a Responsible Officer of the Trustee at the Corporate Trust Office of the Trustee, and such notice references the Notes and this Indenture.</w:t>
      </w:r>
    </w:p>
    <w:p>
      <w:pPr>
        <w:spacing w:after="0" w:line="73" w:lineRule="exact"/>
        <w:rPr>
          <w:rFonts w:ascii="Arial" w:cs="Arial" w:eastAsia="Arial" w:hAnsi="Arial"/>
          <w:sz w:val="18"/>
          <w:szCs w:val="18"/>
          <w:color w:val="auto"/>
        </w:rPr>
      </w:pPr>
    </w:p>
    <w:p>
      <w:pPr>
        <w:ind w:right="280" w:firstLine="921"/>
        <w:spacing w:after="0" w:line="264" w:lineRule="auto"/>
        <w:tabs>
          <w:tab w:leader="none" w:pos="116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punitive,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73" w:lineRule="exact"/>
        <w:rPr>
          <w:rFonts w:ascii="Arial" w:cs="Arial" w:eastAsia="Arial" w:hAnsi="Arial"/>
          <w:sz w:val="18"/>
          <w:szCs w:val="18"/>
          <w:color w:val="auto"/>
        </w:rPr>
      </w:pPr>
    </w:p>
    <w:p>
      <w:pPr>
        <w:ind w:right="60" w:firstLine="921"/>
        <w:spacing w:after="0" w:line="264" w:lineRule="auto"/>
        <w:tabs>
          <w:tab w:leader="none" w:pos="112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Individual Rights of Trustee</w:t>
      </w:r>
      <w:r>
        <w:rPr>
          <w:rFonts w:ascii="Arial" w:cs="Arial" w:eastAsia="Arial" w:hAnsi="Arial"/>
          <w:sz w:val="17"/>
          <w:szCs w:val="17"/>
          <w:color w:val="auto"/>
        </w:rPr>
        <w:t>. 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 7.09 hereof.</w:t>
      </w:r>
    </w:p>
    <w:p>
      <w:pPr>
        <w:spacing w:after="0" w:line="17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Trustee’s Disclaimer</w:t>
      </w:r>
      <w:r>
        <w:rPr>
          <w:rFonts w:ascii="Arial" w:cs="Arial" w:eastAsia="Arial" w:hAnsi="Arial"/>
          <w:sz w:val="17"/>
          <w:szCs w:val="17"/>
          <w:color w:val="auto"/>
        </w:rPr>
        <w:t>. 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7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Trustee shall not be responsible or liable for noncompliance by the Issuer or the Depositary. The Trustee also shall not be responsible or liable for any failure of the Issuer or any other party to comply with any securities laws, including, without limitation, the Securities Act, that may be caused by or result from the failure of the Issuer to comply with the requirements of the Indenture or the failure of the Depositary to comply with any request related to this Indenture.</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Trustee shall not have any obligation or duty to monitor, determine or inquire as to compliance with any restrictions on transfer imposed under this Indenture or under applicable law with respect to any transfer of any interest in any Note (including any transfers between or among the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Notice of Defaults</w:t>
      </w:r>
      <w:r>
        <w:rPr>
          <w:rFonts w:ascii="Arial" w:cs="Arial" w:eastAsia="Arial" w:hAnsi="Arial"/>
          <w:sz w:val="16"/>
          <w:szCs w:val="16"/>
          <w:color w:val="auto"/>
        </w:rPr>
        <w:t>. If a Default occurs and is continuing and if it is known to the Trustee, the Trustee shall mail to Holders of Notes a notice of the Default within 90 days after it occurs. Except in the case of a Default relating to the payment of principal, premium, if any, or</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240" w:top="274" w:right="319" w:bottom="1440" w:gutter="0" w:footer="0" w:header="0"/>
        </w:sectPr>
      </w:pPr>
    </w:p>
    <w:bookmarkStart w:id="137" w:name="page138"/>
    <w:bookmarkEnd w:id="137"/>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on any Note, the Trustee may withhold from the Holders notice of any continuing Default if and so long as a committee of its Responsible Officers in good faith determines that withholding the notice is in the interests of the Holders of the Notes. The Trustee shall not be deemed to know of any Default unless a Responsible Officer of the Trustee has actual knowledge thereof or unless written notice of any event which is such a Default is received by the Trustee in accordance with Section 13.01 hereof at the Corporate Trust Office of the Trustee and such notice references the Notes and this Indenture.</w:t>
      </w:r>
    </w:p>
    <w:p>
      <w:pPr>
        <w:spacing w:after="0" w:line="154"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 The Issuer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Issuer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88"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The Issuer and the Guarantors, jointly and severally, shall indemnify the Trustee and its officers, directors, employees, agents and any predecessor trustee and its officers, directors, employees and agents for, and hold the Trustee harmless against, any and all loss, damage, claims, liability or expense (including attorneys’ fees) incurred by it in connection with the acceptance or administration of this trust and the performance of its duties hereunder (including the costs and expenses of enforcing this Indenture against the Issuer or any of the Guarantors (including this Section 7.06) or defending itself against any claim whether asserted by any Holder, the Issuer or any Guarantor, or liability in connective with the acceptance, exercise or performance of any of its powers or duties hereunder). The Trustee shall notify the Issuer promptly of any claim for which it may seek indemnity. Failure by the Trustee to so notify the Issuer shall not relieve the Issuer of its obligations hereunder. The Issuer shall defend the claim and the Trustee may have separate counsel and the Issuer shall pay the fees and expenses of such counsel. The Issuer need not reimburse any expense or indemnify against any loss, liability or expense incurred by the Trustee through the Trustee’s own willful misconduct, negligence or bad faith.</w:t>
      </w:r>
    </w:p>
    <w:p>
      <w:pPr>
        <w:spacing w:after="0" w:line="182"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The obligations of the Issuer under this Section 7.06 shall survive the satisfaction and discharge of this Indenture or the earlier resignation or removal of the Trustee.</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Notwithstanding anything contrary in Section 4.12 hereof, to secure the payment obligations of the Issuer and the Guarantors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6.01(6) or (7) hereof occurs, the expenses and the compensation for the services (including the fees and expenses of its agents and counsel) are intended to constitute expenses of administration under any Bankruptcy Law.</w:t>
      </w:r>
    </w:p>
    <w:p>
      <w:pPr>
        <w:spacing w:after="0" w:line="181"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Replacement of Trustee</w:t>
      </w:r>
      <w:r>
        <w:rPr>
          <w:rFonts w:ascii="Arial" w:cs="Arial" w:eastAsia="Arial" w:hAnsi="Arial"/>
          <w:sz w:val="17"/>
          <w:szCs w:val="17"/>
          <w:color w:val="auto"/>
        </w:rPr>
        <w:t>. A resignation or removal of the Trustee and appointment of a successor Trustee shall become effective only upon the successor Trustee’s acceptance of appointment as provided in this Section 7.07. The Trustee may resign in writing at any time and be discharged from the trust hereby created by so notifying the Issuer. The Holders of a majority in principal amount of the then outstanding Notes may remove the Trustee by so notifying the Trustee and the Issuer in writing. The Issuer may remove the Trustee if:</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the Trustee is adjudged a bankrupt or an insolvent or an order for relief is entered with respect to the Trustee under any Bankruptcy</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138" w:name="page139"/>
    <w:bookmarkEnd w:id="138"/>
    <w:p>
      <w:pPr>
        <w:ind w:left="1620" w:hanging="279"/>
        <w:spacing w:after="0"/>
        <w:tabs>
          <w:tab w:leader="none" w:pos="1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custodian or public officer takes charge of the Trustee or its property; or</w:t>
      </w:r>
    </w:p>
    <w:p>
      <w:pPr>
        <w:spacing w:after="0" w:line="117" w:lineRule="exact"/>
        <w:rPr>
          <w:rFonts w:ascii="Arial" w:cs="Arial" w:eastAsia="Arial" w:hAnsi="Arial"/>
          <w:sz w:val="18"/>
          <w:szCs w:val="18"/>
          <w:color w:val="auto"/>
        </w:rPr>
      </w:pPr>
    </w:p>
    <w:p>
      <w:pPr>
        <w:ind w:left="1620" w:hanging="279"/>
        <w:spacing w:after="0"/>
        <w:tabs>
          <w:tab w:leader="none" w:pos="1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If a successor Trustee does not take office within 60 days after the retiring Trustee resigns or is removed, the retiring Trustee (at the Issuer’s expense), the Issuer or the Holders of at least 10% in principal amount of the then outstanding Notes may petition any court of competent jurisdiction for the appointment of a successor Trustee.</w:t>
      </w:r>
    </w:p>
    <w:p>
      <w:pPr>
        <w:spacing w:after="0" w:line="181"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If the Trustee, after written request by any Holder who has been a Holder for at least six months, fails to comply with Section 7.09 hereof, such Holder may petition any court of competent jurisdiction for the removal of the Trustee and the appointment of a successor Trustee.</w:t>
      </w:r>
    </w:p>
    <w:p>
      <w:pPr>
        <w:spacing w:after="0" w:line="14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all sums owing to the Trustee hereunder have been paid and subject to the Lien provided for in Section 7.06 hereof. Notwithstanding replacement of the Trustee pursuant to this Section 7.07, the Issuer’s obligations under Section 7.06 hereof shall continue for the benefit of the retiring Trustee.</w:t>
      </w:r>
    </w:p>
    <w:p>
      <w:pPr>
        <w:spacing w:after="0" w:line="193"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Successor Trustee by Merger, etc.</w:t>
      </w:r>
      <w:r>
        <w:rPr>
          <w:rFonts w:ascii="Arial" w:cs="Arial" w:eastAsia="Arial" w:hAnsi="Arial"/>
          <w:sz w:val="17"/>
          <w:szCs w:val="17"/>
          <w:color w:val="auto"/>
        </w:rPr>
        <w:t xml:space="preserve"> If the Trustee consolidates, merges or converts into, or transfers all or substantially all of its corporate trust business to, another corporation, the successor corporation without any further act shall be the successor Trustee.</w:t>
      </w:r>
    </w:p>
    <w:p>
      <w:pPr>
        <w:spacing w:after="0" w:line="14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 xml:space="preserve"> 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together with its parent, a combined capital and surplus of at least $50,000,000 as set forth in its most recent published annual report of condition.</w:t>
      </w:r>
    </w:p>
    <w:p>
      <w:pPr>
        <w:spacing w:after="0" w:line="18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Incumbency Certificate; Specimen Signatures</w:t>
      </w:r>
      <w:r>
        <w:rPr>
          <w:rFonts w:ascii="Arial" w:cs="Arial" w:eastAsia="Arial" w:hAnsi="Arial"/>
          <w:sz w:val="17"/>
          <w:szCs w:val="17"/>
          <w:color w:val="auto"/>
        </w:rPr>
        <w:t>. The Issuer shall furnish, within five (5) Business Days following the Issue Date, to the Trustee, and from time to time thereafter may furnish, an Officer’s Certificate identifying and certifying the incumbency and specimen signatures of the Authorized Persons of the Issuer. Until the Trustee receives a subsequent Officer’s Certificate, the Trustee shall be entitled to conclusively rely on the last such Officer’s Certificate delivered to it for purposes of determining the Authorized Persons of the Issuer.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274" w:right="279" w:bottom="1440" w:gutter="0" w:footer="0" w:header="0"/>
        </w:sectPr>
      </w:pPr>
    </w:p>
    <w:bookmarkStart w:id="139" w:name="page140"/>
    <w:bookmarkEnd w:id="13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LEGAL DEFEASANCE AND COVENANT DEFEASANCE</w:t>
      </w:r>
    </w:p>
    <w:p>
      <w:pPr>
        <w:spacing w:after="0" w:line="225"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Option to Effect Legal Defeasance or Covenant Defeasance</w:t>
      </w:r>
      <w:r>
        <w:rPr>
          <w:rFonts w:ascii="Arial" w:cs="Arial" w:eastAsia="Arial" w:hAnsi="Arial"/>
          <w:sz w:val="17"/>
          <w:szCs w:val="17"/>
          <w:color w:val="auto"/>
        </w:rPr>
        <w:t>. The Issuer may, at its option and at any time, elect to have either Section 8.02 or 8.03 hereof applied to all outstanding Notes upon compliance with the conditions set forth below in this Article 8.</w:t>
      </w:r>
    </w:p>
    <w:p>
      <w:pPr>
        <w:spacing w:after="0" w:line="147"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Legal Defeasance and Discharge</w:t>
      </w:r>
      <w:r>
        <w:rPr>
          <w:rFonts w:ascii="Arial" w:cs="Arial" w:eastAsia="Arial" w:hAnsi="Arial"/>
          <w:sz w:val="17"/>
          <w:szCs w:val="17"/>
          <w:color w:val="auto"/>
        </w:rPr>
        <w:t>. Upon the Issuer’s exercise under Section 8.01 hereof of the option applicable to this Section 8.02, the Issuer and the Guarantors shall, subject to the satisfaction of the conditions set forth in Section 8.04 hereof, be deemed to have been discharged from their obligations with respect to all outstanding Notes and Guarantees on the date the conditions set forth below are satisfied (“</w:t>
      </w:r>
      <w:r>
        <w:rPr>
          <w:rFonts w:ascii="Arial" w:cs="Arial" w:eastAsia="Arial" w:hAnsi="Arial"/>
          <w:sz w:val="17"/>
          <w:szCs w:val="17"/>
          <w:u w:val="single" w:color="auto"/>
          <w:color w:val="auto"/>
        </w:rPr>
        <w:t>Legal</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Defeasance</w:t>
      </w:r>
      <w:r>
        <w:rPr>
          <w:rFonts w:ascii="Arial" w:cs="Arial" w:eastAsia="Arial" w:hAnsi="Arial"/>
          <w:sz w:val="17"/>
          <w:szCs w:val="17"/>
          <w:color w:val="auto"/>
        </w:rPr>
        <w:t>”). For this purpose, Legal Defeasance means that the Issuer shall be deemed to have paid and discharged the entire Indebtedness represented by the outstanding Notes, which shall thereafter be deemed to be “outstanding” only for the purposes of Section 8.05 hereof and the other Sections of this Indenture referred to in (a) and (b) below, and to have satisfied all its other obligations under such Notes and this Indenture including that of the Guarantors (and the Trustee, on demand of and at the expense of the Issuer, shall execute proper instruments acknowledging the same), except for the following provisions which shall survive until otherwise terminated or discharged hereunder:</w:t>
      </w:r>
    </w:p>
    <w:p>
      <w:pPr>
        <w:spacing w:after="0" w:line="71" w:lineRule="exact"/>
        <w:rPr>
          <w:sz w:val="20"/>
          <w:szCs w:val="20"/>
          <w:color w:val="auto"/>
        </w:rPr>
      </w:pPr>
    </w:p>
    <w:p>
      <w:pPr>
        <w:ind w:left="920" w:right="100" w:firstLine="421"/>
        <w:spacing w:after="0" w:line="277" w:lineRule="auto"/>
        <w:tabs>
          <w:tab w:leader="none" w:pos="163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rights of Holders of Notes to receive payments in respect of the principal of, premium, if any, and interest on the Notes when such payments are due solely out of the trust created pursuant to this Indenture referred to in Section 8.04 hereof;</w:t>
      </w:r>
    </w:p>
    <w:p>
      <w:pPr>
        <w:spacing w:after="0" w:line="62" w:lineRule="exact"/>
        <w:rPr>
          <w:rFonts w:ascii="Arial" w:cs="Arial" w:eastAsia="Arial" w:hAnsi="Arial"/>
          <w:sz w:val="18"/>
          <w:szCs w:val="18"/>
          <w:color w:val="auto"/>
        </w:rPr>
      </w:pPr>
    </w:p>
    <w:p>
      <w:pPr>
        <w:ind w:left="920" w:firstLine="421"/>
        <w:spacing w:after="0" w:line="308" w:lineRule="auto"/>
        <w:tabs>
          <w:tab w:leader="none" w:pos="162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Issuer’s obligations with respect to Notes concerning issuing temporary Notes, registration of such Notes, mutilated, destroyed, lost or stolen Notes and the maintenance of an office or agency for payment and money for security payments held in trust;</w:t>
      </w:r>
    </w:p>
    <w:p>
      <w:pPr>
        <w:spacing w:after="0" w:line="38" w:lineRule="exact"/>
        <w:rPr>
          <w:rFonts w:ascii="Arial" w:cs="Arial" w:eastAsia="Arial" w:hAnsi="Arial"/>
          <w:sz w:val="17"/>
          <w:szCs w:val="17"/>
          <w:color w:val="auto"/>
        </w:rPr>
      </w:pPr>
    </w:p>
    <w:p>
      <w:pPr>
        <w:ind w:left="1620" w:hanging="279"/>
        <w:spacing w:after="0"/>
        <w:tabs>
          <w:tab w:leader="none" w:pos="16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this Section 8.02.</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Subject to compliance with this Article 8, the Issuer may exercise its option under this Section 8.02 notwithstanding the prior exercise of its option under Section 8.03 hereof.</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Issuer exercises its legal defeasance option, the First Liens, as they pertain to the Notes and the Guarantees, will be released and each Guarantor will be released from all its obligations under its Guarantee of the Notes.</w:t>
      </w:r>
    </w:p>
    <w:p>
      <w:pPr>
        <w:spacing w:after="0" w:line="170" w:lineRule="exact"/>
        <w:rPr>
          <w:sz w:val="20"/>
          <w:szCs w:val="20"/>
          <w:color w:val="auto"/>
        </w:rPr>
      </w:pPr>
    </w:p>
    <w:p>
      <w:pPr>
        <w:ind w:right="260" w:firstLine="913"/>
        <w:spacing w:after="0" w:line="293"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Issuer’s exercise under Section 8.01 hereof of the option applicable to this Section 8.03, the Issuer and the Guarantors shall, subject to the satisfaction of the conditions set forth in Section 8.04 hereof, be released from their obligations under the covenants contained in Sections 4.03, 4.04, 4.05, 4.07, 4.08, 4.09, 4.10, 4.11, 4.12, 4.13, 4.14 and 4.15 hereof and clauses (4) and (5) of Section 5.01(a), clause (4) of Section 5.01(c), Sections 5.01(e) and 5.01(f) hereof with respect to the outstanding Notes on and after the date the conditions set forth in Section 8.04 hereof are satisfied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and the Notes shall thereafter be deemed not “outstanding” for the purposes of any direction, waiver, consent or declaration or act of Holders (and the consequences of any thereof) in connection with such covenants, but shall continue to be deemed</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274" w:right="299" w:bottom="1440" w:gutter="0" w:footer="0" w:header="0"/>
        </w:sectPr>
      </w:pPr>
    </w:p>
    <w:bookmarkStart w:id="140" w:name="page141"/>
    <w:bookmarkEnd w:id="140"/>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hereof, subject to the satisfaction of the conditions set forth in Section 8.04 hereof, Sections 6.01(3) (solely with respect to the covenants that are released upon a Covenant Defeasance), 6.01(4), 6.01(5), 6.01(6) (solely with respect to the Company and its Restricted Subsidiaries other than the Issuer), 6.01(7) (solely with respect to the Company and its Restricted Subsidiaries other than the Issuer) and 6.01(8) hereof shall not constitute Events of Default.</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the Issuer exercises its covenant defeasance option, the First Liens, as they pertain to the Notes and the Guarantees, will be released and each Guarantor will be released from all its obligations under its Guarantee of the Notes.</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 The following shall be the conditions to the application of either Section 8.02 or 8.03 hereof to the outstanding Notes: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order to exercise either Legal Defeasance or Covenant Defeasance with respect to the Notes:</w:t>
      </w:r>
    </w:p>
    <w:p>
      <w:pPr>
        <w:spacing w:after="0" w:line="117" w:lineRule="exact"/>
        <w:rPr>
          <w:sz w:val="20"/>
          <w:szCs w:val="20"/>
          <w:color w:val="auto"/>
        </w:rPr>
      </w:pPr>
    </w:p>
    <w:p>
      <w:pPr>
        <w:ind w:left="460" w:firstLine="443"/>
        <w:spacing w:after="0" w:line="257" w:lineRule="auto"/>
        <w:tabs>
          <w:tab w:leader="none" w:pos="115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in trust, for the benefit of the Holders of the Notes, cash in U.S. dollars, U.S. dollar-denominated Government Securities, or a combination thereof, in such amounts as will be sufficient, in the opinion of a nationally recognized firm of independent public accountants, to pay the principal of, premium, if any, and interest due on the Notes on the stated maturity date or on the Redemption Date, as the case may be, of such principal, premium, if any, or interest on such Notes and the Issuer must specify whether such Notes are being defeased to maturity or to a particular Redemption Date.</w:t>
      </w:r>
    </w:p>
    <w:p>
      <w:pPr>
        <w:spacing w:after="0" w:line="80" w:lineRule="exact"/>
        <w:rPr>
          <w:rFonts w:ascii="Arial" w:cs="Arial" w:eastAsia="Arial" w:hAnsi="Arial"/>
          <w:sz w:val="18"/>
          <w:szCs w:val="18"/>
          <w:color w:val="auto"/>
        </w:rPr>
      </w:pPr>
    </w:p>
    <w:p>
      <w:pPr>
        <w:ind w:left="460" w:right="320" w:firstLine="443"/>
        <w:spacing w:after="0" w:line="277" w:lineRule="auto"/>
        <w:tabs>
          <w:tab w:leader="none" w:pos="115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reasonably acceptable to the Trustee confirming that, subject to customary assumptions and exclusions,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United States Internal Revenue Service a ruling, or</w:t>
      </w:r>
    </w:p>
    <w:p>
      <w:pPr>
        <w:spacing w:after="0" w:line="117" w:lineRule="exact"/>
        <w:rPr>
          <w:rFonts w:ascii="Arial" w:cs="Arial" w:eastAsia="Arial" w:hAnsi="Arial"/>
          <w:sz w:val="18"/>
          <w:szCs w:val="18"/>
          <w:color w:val="auto"/>
        </w:rPr>
      </w:pPr>
    </w:p>
    <w:p>
      <w:pPr>
        <w:ind w:left="1620" w:hanging="279"/>
        <w:spacing w:after="0"/>
        <w:tabs>
          <w:tab w:leader="none" w:pos="16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since the issuance of the Notes, there has been a change in the applicable U.S. federal income tax law,</w:t>
      </w:r>
    </w:p>
    <w:p>
      <w:pPr>
        <w:spacing w:after="0" w:line="117"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subject to customary assumptions and exclusions, the Holders of the Notes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274" w:right="259" w:bottom="1440" w:gutter="0" w:footer="0" w:header="0"/>
        </w:sectPr>
      </w:pPr>
    </w:p>
    <w:bookmarkStart w:id="141" w:name="page142"/>
    <w:bookmarkEnd w:id="141"/>
    <w:p>
      <w:pPr>
        <w:ind w:left="460" w:right="60" w:firstLine="443"/>
        <w:spacing w:after="0" w:line="279" w:lineRule="auto"/>
        <w:tabs>
          <w:tab w:leader="none" w:pos="1153" w:val="left"/>
        </w:tabs>
        <w:numPr>
          <w:ilvl w:val="0"/>
          <w:numId w:val="2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Covenant Defeasance, the Issuer shall have delivered to the Trustee an Opinion of Counsel reasonably acceptable to the Trustee confirming that, subject to customary assumptions and exclusions, the Holders of the Notes will not recognize income, gain or loss for U.S. federal income tax purposes as a result of such Covenant Defeasance and will be subject to such tax on the same amounts, in the same manner and at the same times as would have been the case if such Covenant Defeasance had not occurred;</w:t>
      </w:r>
    </w:p>
    <w:p>
      <w:pPr>
        <w:spacing w:after="0" w:line="63" w:lineRule="exact"/>
        <w:rPr>
          <w:rFonts w:ascii="Arial" w:cs="Arial" w:eastAsia="Arial" w:hAnsi="Arial"/>
          <w:sz w:val="17"/>
          <w:szCs w:val="17"/>
          <w:color w:val="auto"/>
        </w:rPr>
      </w:pPr>
    </w:p>
    <w:p>
      <w:pPr>
        <w:ind w:left="460" w:right="340" w:firstLine="443"/>
        <w:spacing w:after="0" w:line="264" w:lineRule="auto"/>
        <w:tabs>
          <w:tab w:leader="none" w:pos="115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Default (other than that resulting from borrowing funds to be applied to make such deposit and any similar and simultaneous deposit relating to other Indebtedness and, in each case, the granting of Liens in connection therewith) shall have occurred and be continuing on the date of such deposit;</w:t>
      </w:r>
    </w:p>
    <w:p>
      <w:pPr>
        <w:spacing w:after="0" w:line="73" w:lineRule="exact"/>
        <w:rPr>
          <w:rFonts w:ascii="Arial" w:cs="Arial" w:eastAsia="Arial" w:hAnsi="Arial"/>
          <w:sz w:val="18"/>
          <w:szCs w:val="18"/>
          <w:color w:val="auto"/>
        </w:rPr>
      </w:pPr>
    </w:p>
    <w:p>
      <w:pPr>
        <w:ind w:left="460" w:right="100" w:firstLine="443"/>
        <w:spacing w:after="0" w:line="255" w:lineRule="auto"/>
        <w:tabs>
          <w:tab w:leader="none" w:pos="115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the Senior Credit Facilities, the Existing Secured Notes, the NXP Notes, the indentures pursuant to which the Existing Secured Notes were issued, the indentures pursuant to which the NXP Notes were issued or any other material agreement or instrument (other than this Indenture) to which, the Issuer or any Guarantor is a party or by which the Issuer or any Guarantor is bound (other than that resulting from any borrowing of funds to be applied to make the deposit required to effect such Legal Defeasance or Covenant Defeasance and any similar and simultaneous deposit relating to other Indebtedness, and the granting of Liens in connection therewith);</w:t>
      </w:r>
    </w:p>
    <w:p>
      <w:pPr>
        <w:spacing w:after="0" w:line="85" w:lineRule="exact"/>
        <w:rPr>
          <w:rFonts w:ascii="Arial" w:cs="Arial" w:eastAsia="Arial" w:hAnsi="Arial"/>
          <w:sz w:val="18"/>
          <w:szCs w:val="18"/>
          <w:color w:val="auto"/>
        </w:rPr>
      </w:pPr>
    </w:p>
    <w:p>
      <w:pPr>
        <w:ind w:left="460" w:right="100" w:firstLine="443"/>
        <w:spacing w:after="0" w:line="302" w:lineRule="auto"/>
        <w:tabs>
          <w:tab w:leader="none" w:pos="115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Issuer shall have delivered to the Trustee an Opinion of Counsel to the effect that, as of the date of such opinion and subject to customary assumptions and exclusions following the deposit, the trust funds will not be subject to the effect of any applicable bankruptcy, insolvency, reorganization, or similar laws affecting creditors’ rights generally (including Section 547 of Title 11 of the United States Code) under any applicable U.S. Federal or state law, and that the Trustee has a perfected security interest in such trust funds for the ratable benefit of the Holders;</w:t>
      </w:r>
    </w:p>
    <w:p>
      <w:pPr>
        <w:spacing w:after="0" w:line="46" w:lineRule="exact"/>
        <w:rPr>
          <w:rFonts w:ascii="Arial" w:cs="Arial" w:eastAsia="Arial" w:hAnsi="Arial"/>
          <w:sz w:val="16"/>
          <w:szCs w:val="16"/>
          <w:color w:val="auto"/>
        </w:rPr>
      </w:pPr>
    </w:p>
    <w:p>
      <w:pPr>
        <w:ind w:left="460" w:right="400" w:firstLine="443"/>
        <w:spacing w:after="0" w:line="277" w:lineRule="auto"/>
        <w:tabs>
          <w:tab w:leader="none" w:pos="115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the Issuer with the intent of defeating, hindering, delaying or defrauding any creditors of the Issuer or any Guarantor or others; and</w:t>
      </w:r>
    </w:p>
    <w:p>
      <w:pPr>
        <w:spacing w:after="0" w:line="62" w:lineRule="exact"/>
        <w:rPr>
          <w:rFonts w:ascii="Arial" w:cs="Arial" w:eastAsia="Arial" w:hAnsi="Arial"/>
          <w:sz w:val="18"/>
          <w:szCs w:val="18"/>
          <w:color w:val="auto"/>
        </w:rPr>
      </w:pPr>
    </w:p>
    <w:p>
      <w:pPr>
        <w:ind w:left="460" w:right="40" w:firstLine="443"/>
        <w:spacing w:after="0" w:line="264" w:lineRule="auto"/>
        <w:tabs>
          <w:tab w:leader="none" w:pos="115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8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Deposited Money and Government Securities to Be Held in Trust; Other Miscellaneous Provisions</w:t>
      </w:r>
      <w:r>
        <w:rPr>
          <w:rFonts w:ascii="Arial" w:cs="Arial" w:eastAsia="Arial" w:hAnsi="Arial"/>
          <w:sz w:val="17"/>
          <w:szCs w:val="17"/>
          <w:color w:val="auto"/>
        </w:rPr>
        <w:t>. Subject to Section 8.06 hereof, all money and Government Securities (including the proceeds thereof) deposited with the Trustee (or other qualifying trustee, collectively for purposes of this Section 8.05, the “</w:t>
      </w:r>
      <w:r>
        <w:rPr>
          <w:rFonts w:ascii="Arial" w:cs="Arial" w:eastAsia="Arial" w:hAnsi="Arial"/>
          <w:sz w:val="17"/>
          <w:szCs w:val="17"/>
          <w:u w:val="single" w:color="auto"/>
          <w:color w:val="auto"/>
        </w:rPr>
        <w:t>Trustee</w:t>
      </w:r>
      <w:r>
        <w:rPr>
          <w:rFonts w:ascii="Arial" w:cs="Arial" w:eastAsia="Arial" w:hAnsi="Arial"/>
          <w:sz w:val="17"/>
          <w:szCs w:val="17"/>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 or a Guarantor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17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Issuer shall pay and indemnify the Trustee against any tax, fee or other charge imposed on or assessed against the cash or Government Securities deposited pursuant to Section 8.04 hereof or the principal and interest received in respect thereof other than any such tax, fee or other charge which by law is for the account of the Holders of the outstanding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42" w:name="page143"/>
    <w:bookmarkEnd w:id="142"/>
    <w:p>
      <w:pPr>
        <w:jc w:val="both"/>
        <w:ind w:right="2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Anything in this Article 8 to the contrary notwithstanding, the Trustee shall deliver or pay to the Issuer from time to time upon the request of the Issuer any money or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154"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Repayment to Issuer</w:t>
      </w:r>
      <w:r>
        <w:rPr>
          <w:rFonts w:ascii="Arial" w:cs="Arial" w:eastAsia="Arial" w:hAnsi="Arial"/>
          <w:sz w:val="17"/>
          <w:szCs w:val="17"/>
          <w:color w:val="auto"/>
        </w:rPr>
        <w:t>. Subject to any applicable abandoned property law, any money deposited with the Trustee or any Paying Agent, or then held by the Issuer, in trust for the payment of the principal of, premium, if any,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73"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Reinstatement</w:t>
      </w:r>
      <w:r>
        <w:rPr>
          <w:rFonts w:ascii="Arial" w:cs="Arial" w:eastAsia="Arial" w:hAnsi="Arial"/>
          <w:sz w:val="17"/>
          <w:szCs w:val="17"/>
          <w:color w:val="auto"/>
        </w:rPr>
        <w:t>. If the Trustee or Paying Agent is unable to apply any United States dollars or Government Securities in accordance with Section 8.02 or 8.03 hereof,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provided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 SUPPLEMENT AND WAIVER</w:t>
      </w:r>
    </w:p>
    <w:p>
      <w:pPr>
        <w:spacing w:after="0" w:line="225"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Without Consent of Holders of Notes</w:t>
      </w:r>
      <w:r>
        <w:rPr>
          <w:rFonts w:ascii="Arial" w:cs="Arial" w:eastAsia="Arial" w:hAnsi="Arial"/>
          <w:sz w:val="18"/>
          <w:szCs w:val="18"/>
          <w:color w:val="auto"/>
        </w:rPr>
        <w:t>. Notwithstanding Section 9.02 hereof, the Issuer, the Guarantors and the Trustee may amend or supplement this Indenture and any Guarantee or Notes without the consent of any Holder:</w:t>
      </w:r>
    </w:p>
    <w:p>
      <w:pPr>
        <w:spacing w:after="0" w:line="62" w:lineRule="exact"/>
        <w:rPr>
          <w:sz w:val="20"/>
          <w:szCs w:val="20"/>
          <w:color w:val="auto"/>
        </w:rPr>
      </w:pPr>
    </w:p>
    <w:p>
      <w:pPr>
        <w:ind w:left="1160" w:hanging="257"/>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provide for uncertificated Notes of such series in addition to or in place of certificated Notes;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comply with Section 5.01 hereof;</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provide the assumption of the Issuer’s or any Guarantor’s obligations to the Holders;</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adversely affect the legal rights under this Indenture of any such Holder;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add covenants for the benefit of the Holders or to surrender any right or power conferred upon the Issuer or any Guarantor;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74" w:right="259" w:bottom="1440" w:gutter="0" w:footer="0" w:header="0"/>
        </w:sectPr>
      </w:pPr>
    </w:p>
    <w:bookmarkStart w:id="143" w:name="page144"/>
    <w:bookmarkEnd w:id="143"/>
    <w:p>
      <w:pPr>
        <w:ind w:left="460" w:right="920" w:firstLine="443"/>
        <w:spacing w:after="0" w:line="277" w:lineRule="auto"/>
        <w:tabs>
          <w:tab w:leader="none" w:pos="1153"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evidence and provide for the acceptance and appointment under this Indenture of a successor Trustee hereunder pursuant to the requirements hereof;</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add a Guarantor under this Indenture or to remove any Parent Guarantor that is not a Restricted Parent Guarantor;</w:t>
      </w:r>
    </w:p>
    <w:p>
      <w:pPr>
        <w:spacing w:after="0" w:line="117" w:lineRule="exact"/>
        <w:rPr>
          <w:rFonts w:ascii="Arial" w:cs="Arial" w:eastAsia="Arial" w:hAnsi="Arial"/>
          <w:sz w:val="18"/>
          <w:szCs w:val="18"/>
          <w:color w:val="auto"/>
        </w:rPr>
      </w:pPr>
    </w:p>
    <w:p>
      <w:pPr>
        <w:ind w:left="460" w:right="80" w:firstLine="443"/>
        <w:spacing w:after="0" w:line="264" w:lineRule="auto"/>
        <w:tabs>
          <w:tab w:leader="none" w:pos="115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conform the text of this Indenture, Guarantees or the Notes to any provision of the “Description of the Notes” section of the Offering Memorandum to the extent that such provision in such “Description of the notes” section was intended to be a verbatim recitation of a provision of this Indenture, Guarantee or Notes; or</w:t>
      </w:r>
    </w:p>
    <w:p>
      <w:pPr>
        <w:spacing w:after="0" w:line="73" w:lineRule="exact"/>
        <w:rPr>
          <w:rFonts w:ascii="Arial" w:cs="Arial" w:eastAsia="Arial" w:hAnsi="Arial"/>
          <w:sz w:val="18"/>
          <w:szCs w:val="18"/>
          <w:color w:val="auto"/>
        </w:rPr>
      </w:pPr>
    </w:p>
    <w:p>
      <w:pPr>
        <w:ind w:left="460" w:right="120" w:firstLine="443"/>
        <w:spacing w:after="0" w:line="259" w:lineRule="auto"/>
        <w:tabs>
          <w:tab w:leader="none" w:pos="124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to make any amendment to the provisions of this Indenture relating to the transfer and legending of Notes as permitted by this Indenture, including, without limitation to facilitate the issuance and administration of the Notes; </w:t>
      </w:r>
      <w:r>
        <w:rPr>
          <w:rFonts w:ascii="Arial" w:cs="Arial" w:eastAsia="Arial" w:hAnsi="Arial"/>
          <w:sz w:val="18"/>
          <w:szCs w:val="18"/>
          <w:u w:val="single" w:color="auto"/>
          <w:color w:val="auto"/>
        </w:rPr>
        <w:t>provided</w:t>
      </w:r>
      <w:r>
        <w:rPr>
          <w:rFonts w:ascii="Arial" w:cs="Arial" w:eastAsia="Arial" w:hAnsi="Arial"/>
          <w:sz w:val="18"/>
          <w:szCs w:val="18"/>
          <w:color w:val="auto"/>
        </w:rPr>
        <w:t>, that (i) compliance with this Indenture as so amended would not result in Notes being transferred in violation of the Securities Act or any applicable securities law and (ii) such amendment does not materially and adversely affect the rights of Holders to transfer Notes.</w:t>
      </w:r>
    </w:p>
    <w:p>
      <w:pPr>
        <w:spacing w:after="0" w:line="78" w:lineRule="exact"/>
        <w:rPr>
          <w:rFonts w:ascii="Arial" w:cs="Arial" w:eastAsia="Arial" w:hAnsi="Arial"/>
          <w:sz w:val="18"/>
          <w:szCs w:val="18"/>
          <w:color w:val="auto"/>
        </w:rPr>
      </w:pPr>
    </w:p>
    <w:p>
      <w:pPr>
        <w:ind w:left="460" w:right="120" w:firstLine="443"/>
        <w:spacing w:after="0" w:line="264" w:lineRule="auto"/>
        <w:tabs>
          <w:tab w:leader="none" w:pos="123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add additional assets as Collateral or to release any Collateral from the liens securing the Notes, in each case pursuant to the terms of this Indenture, the Collateral Documents relating to the Notes and the Intercreditor Agreement, as and when permitted or required by this Indenture, the Collateral Documents relating to the Notes or the Intercreditor Agreement.</w:t>
      </w:r>
    </w:p>
    <w:p>
      <w:pPr>
        <w:spacing w:after="0" w:line="18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In addition, the Collateral Agent and the Trustee are authorized to amend the Collateral Documents relating to the Notes to comply with the provisions hereof and thereof.</w:t>
      </w:r>
    </w:p>
    <w:p>
      <w:pPr>
        <w:spacing w:after="0" w:line="17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Upon the request of the Issuer accompanied by a resolution of its board of directors authorizing the execution of any such amended or supplemental indenture, and upon receipt by the Trustee of the documents described in Section 7.02 hereof, the Trustee shall join with the Issuer and the Guarantors in the execution of any amended or supplemental indenture authorized or permitted by the terms of this Indenture and to make any further appropriate agreements and stipulations that may be therein contained, but the Trustee shall have the right, but not be obligated to, enter into such amended or supplemental indenture that affects its own rights, duties or immunities under this Indenture or otherwise. Notwithstanding the foregoing, neither an Opinion of Counsel nor an Officer’s Certificate shall be required in connection with the addition of a Guarantor under this Indenture (other than as required by Section 4.15 hereof) upon execution and delivery by such Guarantor and the Trustee of a supplemental indenture to this Indenture, the form of which is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92"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With Consent of Holders of Notes</w:t>
      </w:r>
      <w:r>
        <w:rPr>
          <w:rFonts w:ascii="Arial" w:cs="Arial" w:eastAsia="Arial" w:hAnsi="Arial"/>
          <w:sz w:val="18"/>
          <w:szCs w:val="18"/>
          <w:color w:val="auto"/>
        </w:rPr>
        <w:t>. Except as provided below in this Section 9.02, the Issuer, the Guarantors and the Trustee may amend or supplement this Indenture, the Notes, any Guarantee, the Collateral Documents relating to the Notes with the consent of the Holders of at least a majority in principal amount of the Notes (including Additional Notes, if any) then outstanding voting as a single class (including consents obtained in connection with a tender offer or exchange offer for, or purchase of, the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any Guarantee, the Collateral Documents relating to the Notes or the Notes may be waived with the consent of the Holders of a majority in principal amount of the then outstanding Notes (including Additional Notes, if any) voting as a single class (including consents obtained in connection with a tender offer or exchange offer for, or purchase of, the Notes).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4" w:right="239" w:bottom="1440" w:gutter="0" w:footer="0" w:header="0"/>
        </w:sectPr>
      </w:pPr>
    </w:p>
    <w:bookmarkStart w:id="144" w:name="page145"/>
    <w:bookmarkEnd w:id="144"/>
    <w:p>
      <w:pPr>
        <w:ind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request of the Issuer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58"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It shall not be necessary for the consent of the Holders of Notes under this Section 9.02 to approve the particular form of any proposed amendment or waiver, but it shall be sufficient if such consent approves the substance thereof.</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After an amendment, supplement or waiver under this Section 9.02 becomes effective, the Issuer shall mail to the Holders of Notes affected thereby a notice briefly describing the amendment, supplement or waiver. Any failure of the Issuer to mail such notice, or any defect therein, shall not, however, in any way impair or affect the validity of any such amended or supplemental indenture or waiver.</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Without the consent of each affected Holder of Notes, an amendment or waiver under this Section 9.02 may not (with respect to any Notes held by a non-consenting Holder):</w:t>
      </w:r>
    </w:p>
    <w:p>
      <w:pPr>
        <w:spacing w:after="0" w:line="62" w:lineRule="exact"/>
        <w:rPr>
          <w:sz w:val="20"/>
          <w:szCs w:val="20"/>
          <w:color w:val="auto"/>
        </w:rPr>
      </w:pPr>
    </w:p>
    <w:p>
      <w:pPr>
        <w:ind w:left="1160" w:hanging="257"/>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supplement or waiver;</w:t>
      </w:r>
    </w:p>
    <w:p>
      <w:pPr>
        <w:spacing w:after="0" w:line="117" w:lineRule="exact"/>
        <w:rPr>
          <w:rFonts w:ascii="Arial" w:cs="Arial" w:eastAsia="Arial" w:hAnsi="Arial"/>
          <w:sz w:val="18"/>
          <w:szCs w:val="18"/>
          <w:color w:val="auto"/>
        </w:rPr>
      </w:pPr>
    </w:p>
    <w:p>
      <w:pPr>
        <w:jc w:val="both"/>
        <w:ind w:left="460" w:right="60" w:firstLine="443"/>
        <w:spacing w:after="0" w:line="259" w:lineRule="auto"/>
        <w:tabs>
          <w:tab w:leader="none" w:pos="115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reduce the principal of or change the fixed final maturity of any such Note or alter or waive the provisions with respect to the redemption of such Note (other than provisions relating to Section 3.09, Section 4.10 and Section 4.14 hereof to the extent that any such amendment or waiver does not have the effect of reducing the principal of or changing the fixed final maturity of any such Note or altering or waiving the provisions with respect to the redemption of such Notes);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17"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waive a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 or in respect of a covenant or provision contained in this Indenture or any Guarantee which cannot be amended or modified without the consent of all Holders;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therein;</w:t>
      </w:r>
    </w:p>
    <w:p>
      <w:pPr>
        <w:spacing w:after="0" w:line="117" w:lineRule="exact"/>
        <w:rPr>
          <w:rFonts w:ascii="Arial" w:cs="Arial" w:eastAsia="Arial" w:hAnsi="Arial"/>
          <w:sz w:val="18"/>
          <w:szCs w:val="18"/>
          <w:color w:val="auto"/>
        </w:rPr>
      </w:pPr>
    </w:p>
    <w:p>
      <w:pPr>
        <w:ind w:left="460" w:right="480" w:firstLine="443"/>
        <w:spacing w:after="0" w:line="277" w:lineRule="auto"/>
        <w:tabs>
          <w:tab w:leader="none" w:pos="115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to receive payments of principal of or premium, if any, or interest on the Notes;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of, or interest on such Holder’s Notes on or after the due dates therefor or to institute suit for the enforcement of any payment on or with respect to such Holder’s Notes;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40"/>
          </w:cols>
          <w:pgMar w:left="240" w:top="274" w:right="319" w:bottom="1440" w:gutter="0" w:footer="0" w:header="0"/>
        </w:sectPr>
      </w:pPr>
    </w:p>
    <w:bookmarkStart w:id="145" w:name="page146"/>
    <w:bookmarkEnd w:id="145"/>
    <w:p>
      <w:pPr>
        <w:ind w:left="1160" w:hanging="257"/>
        <w:spacing w:after="0"/>
        <w:tabs>
          <w:tab w:leader="none" w:pos="11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any change to or modify the ranking of the Notes that would adversely affect the Holders;</w:t>
      </w:r>
    </w:p>
    <w:p>
      <w:pPr>
        <w:spacing w:after="0" w:line="117" w:lineRule="exact"/>
        <w:rPr>
          <w:rFonts w:ascii="Arial" w:cs="Arial" w:eastAsia="Arial" w:hAnsi="Arial"/>
          <w:sz w:val="18"/>
          <w:szCs w:val="18"/>
          <w:color w:val="auto"/>
        </w:rPr>
      </w:pPr>
    </w:p>
    <w:p>
      <w:pPr>
        <w:ind w:left="460" w:right="60" w:firstLine="443"/>
        <w:spacing w:after="0" w:line="308" w:lineRule="auto"/>
        <w:tabs>
          <w:tab w:leader="none" w:pos="124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except as expressly permitted by this Indenture, modify the Guarantees of any Restricted Parent Guarantor or Significant Subsidiary (or any group of Subsidiaries that together would constitute a Significant Subsidiary) in any manner adverse to the Holders of the Notes; or</w:t>
      </w:r>
    </w:p>
    <w:p>
      <w:pPr>
        <w:spacing w:after="0" w:line="38" w:lineRule="exact"/>
        <w:rPr>
          <w:rFonts w:ascii="Arial" w:cs="Arial" w:eastAsia="Arial" w:hAnsi="Arial"/>
          <w:sz w:val="17"/>
          <w:szCs w:val="17"/>
          <w:color w:val="auto"/>
        </w:rPr>
      </w:pPr>
    </w:p>
    <w:p>
      <w:pPr>
        <w:ind w:left="460" w:right="80" w:firstLine="443"/>
        <w:spacing w:after="0" w:line="342" w:lineRule="auto"/>
        <w:tabs>
          <w:tab w:leader="none" w:pos="123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make any change in the provisions described under Section 4.05(b)—(h) hereof that adversely affects the rights of any Holder of Notes or amend the terms of any Notes or this Indenture in a way that would result in the loss of an exemption from any of the Taxes described in such Section.</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Without the consent of at least two-thirds in aggregate principal amount of Notes then outstanding, an amendment or waiver may not:</w:t>
      </w:r>
    </w:p>
    <w:p>
      <w:pPr>
        <w:spacing w:after="0" w:line="117" w:lineRule="exact"/>
        <w:rPr>
          <w:sz w:val="20"/>
          <w:szCs w:val="20"/>
          <w:color w:val="auto"/>
        </w:rPr>
      </w:pPr>
    </w:p>
    <w:p>
      <w:pPr>
        <w:ind w:left="460" w:right="560" w:firstLine="443"/>
        <w:spacing w:after="0" w:line="264" w:lineRule="auto"/>
        <w:tabs>
          <w:tab w:leader="none" w:pos="115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modify any Collateral Document relating to the Notes or the provisions of this Indenture dealing with the Collateral Documents or the application of trust moneys, or otherwise release all or substantially all of the Collateral, except as otherwise permitted by this Indenture or the Collateral Documents; or</w:t>
      </w:r>
    </w:p>
    <w:p>
      <w:pPr>
        <w:spacing w:after="0" w:line="73"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modify the Intercreditor Agreement in any manner materially adverse to the Holders except as otherwise permitted by this Indenture or the Collateral Documents.</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58"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spacing w:after="0" w:line="173"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Notation on or Exchange of Notes</w:t>
      </w:r>
      <w:r>
        <w:rPr>
          <w:rFonts w:ascii="Arial" w:cs="Arial" w:eastAsia="Arial" w:hAnsi="Arial"/>
          <w:sz w:val="18"/>
          <w:szCs w:val="18"/>
          <w:color w:val="auto"/>
        </w:rPr>
        <w:t>. 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Failure to make the appropriate notation or issue a new Note shall not affect the validity and effect of such amendment, supplement or waiver.</w:t>
      </w:r>
    </w:p>
    <w:p>
      <w:pPr>
        <w:spacing w:after="0" w:line="248"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Trustee to Sign Amendments, etc.</w:t>
      </w:r>
      <w:r>
        <w:rPr>
          <w:rFonts w:ascii="Arial" w:cs="Arial" w:eastAsia="Arial" w:hAnsi="Arial"/>
          <w:sz w:val="16"/>
          <w:szCs w:val="16"/>
          <w:color w:val="auto"/>
        </w:rPr>
        <w:t xml:space="preserve"> The Trustee shall sign, and shall direct the Collateral Agent to sign (as applicable), any amendment, supplement or waiver authorized pursuant to this Article 9 if the amendment or supplement does not adversely affect the rights, duties,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274" w:right="279" w:bottom="1440" w:gutter="0" w:footer="0" w:header="0"/>
        </w:sectPr>
      </w:pPr>
    </w:p>
    <w:bookmarkStart w:id="146" w:name="page147"/>
    <w:bookmarkEnd w:id="14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liabilities or immunities of the Trustee and the Collateral Agent, as applicable. The Issuer may not sign an amendment, supplement or waiver until the board of directors of the Issuer approves it. In executing any amendment, supplement or waiver, the Trustee and the Collateral Agent shall be entitled to receive, upon request, and (subject to Section 7.01 hereof) shall be fully protected in relying upon, in addition to the documents required by Section 13.03 hereof, an Officer’s Certificate and an Opinion of Counsel stating that the execution of such amended or supplemental indenture is authorized or permitted by this Indenture and that such amendment, supplement or waiver is the legal, valid and binding obligation of the Issuer and any Guarantors party thereto, enforceable against them in accordance with its terms, subject to customary exceptions, and complies with the provisions hereof. Notwithstanding the foregoing, except as required by Section 4.15 hereof, neither an Opinion of Counsel nor an Officer’s Certificate will be required for the Trustee to execute any amendment or supplement adding a new Guarantor under this Indenture.</w:t>
      </w:r>
    </w:p>
    <w:p>
      <w:pPr>
        <w:spacing w:after="0" w:line="179"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Payment for Consent</w:t>
      </w:r>
      <w:r>
        <w:rPr>
          <w:rFonts w:ascii="Arial" w:cs="Arial" w:eastAsia="Arial" w:hAnsi="Arial"/>
          <w:sz w:val="17"/>
          <w:szCs w:val="17"/>
          <w:color w:val="auto"/>
        </w:rPr>
        <w:t>. Neither the Issuer, the Company nor any Affiliate of the Issuer shall,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all Holders and is paid to all Holders that so consent, waive or agree to amend in the time frame set forth in solicitation documents relating to such consent, waiver or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Additional Voting Terms; Calculation of Principal Amount</w:t>
      </w:r>
      <w:r>
        <w:rPr>
          <w:rFonts w:ascii="Arial" w:cs="Arial" w:eastAsia="Arial" w:hAnsi="Arial"/>
          <w:sz w:val="18"/>
          <w:szCs w:val="18"/>
          <w:color w:val="auto"/>
        </w:rPr>
        <w:t>. Except as provided in the proviso to the first sentence of</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Section 9.02, all Notes issued under this Indenture shall vote and consent together on all matters (as to which any of such Notes may vote) as one class and no series of Notes will have the right to vote or consent as a separate series on any matter. Determinations as to whether Holders of the requisite aggregate principal amount of Notes have concurred in any direction, waiver or consent shall be made in accordance with this Article Nine.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GUARANTEES</w:t>
      </w:r>
    </w:p>
    <w:p>
      <w:pPr>
        <w:spacing w:after="0" w:line="225"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Guarantee</w:t>
      </w:r>
      <w:r>
        <w:rPr>
          <w:rFonts w:ascii="Arial" w:cs="Arial" w:eastAsia="Arial" w:hAnsi="Arial"/>
          <w:sz w:val="17"/>
          <w:szCs w:val="17"/>
          <w:color w:val="auto"/>
        </w:rPr>
        <w:t>. Subject to this Article 10,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 (a) the principal of and interest and premium, if any, on the Notes shall be promptly paid in full when due, whether at maturity, by acceleration, redemption or otherwise, and interest on the overdue principal of and interest on the Notes, if any, if lawful, and all other obligations of the Issuer to the Holders or the Trustee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7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147" w:name="page148"/>
    <w:bookmarkEnd w:id="147"/>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defense of a guarantor. Each Guarantor hereby waives diligence, presentment, demand of payment, filing of claims with a court in the event of insolvency or bankruptcy of the Issuer, any right to require a proceeding first against the Issuer, protest, notice and all demands whatsoever and covenants that this Guarantee shall not be discharged except by complete performance of the obligations contained in the Notes and this Indenture.</w:t>
      </w:r>
    </w:p>
    <w:p>
      <w:pPr>
        <w:spacing w:after="0" w:line="166"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Each Guarantor also agrees to pay any and all costs and expenses (including reasonable attorneys’ fees) incurred by the Trustee or any Holder in enforcing any rights under this Section 10.01.</w:t>
      </w:r>
    </w:p>
    <w:p>
      <w:pPr>
        <w:spacing w:after="0" w:line="170"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If any Holder or the Trustee is required by any court or otherwise to return to the Issuer, the Guarantors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18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Article 6 hereof for the purposes of this Guarantee, notwithstanding any stay, injunction or other prohibition preventing such acceleration in respect of the obligations guaranteed hereby, and (y) in the event of any declaration of acceleration of such obligations as provided in Article 6 hereof, such obligations (whether or not due and payable) shall forthwith become due and payable by the Guarantors for the purpose of this Guarantee. The Guarantors shall have the right to seek contribution from any non-paying Guarantor so long as the exercise of such right does not impair the rights of the Holders under the Guarantees.</w:t>
      </w:r>
    </w:p>
    <w:p>
      <w:pPr>
        <w:spacing w:after="0" w:line="16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Each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6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In case any provision of any Guarantee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 xml:space="preserve">The Guarantees issued by each Unrestricted Parent Guarantor shall be a general unsecured senior obligation of such Guarantor and shall be </w:t>
      </w:r>
      <w:r>
        <w:rPr>
          <w:rFonts w:ascii="Arial" w:cs="Arial" w:eastAsia="Arial" w:hAnsi="Arial"/>
          <w:sz w:val="16"/>
          <w:szCs w:val="16"/>
          <w:u w:val="single" w:color="auto"/>
          <w:color w:val="auto"/>
        </w:rPr>
        <w:t>pari</w:t>
      </w:r>
      <w:r>
        <w:rPr>
          <w:rFonts w:ascii="Arial" w:cs="Arial" w:eastAsia="Arial" w:hAnsi="Arial"/>
          <w:sz w:val="16"/>
          <w:szCs w:val="16"/>
          <w:color w:val="auto"/>
        </w:rPr>
        <w:t xml:space="preserve"> </w:t>
      </w:r>
      <w:r>
        <w:rPr>
          <w:rFonts w:ascii="Arial" w:cs="Arial" w:eastAsia="Arial" w:hAnsi="Arial"/>
          <w:sz w:val="16"/>
          <w:szCs w:val="16"/>
          <w:u w:val="single" w:color="auto"/>
          <w:color w:val="auto"/>
        </w:rPr>
        <w:t>passu</w:t>
      </w:r>
      <w:r>
        <w:rPr>
          <w:rFonts w:ascii="Arial" w:cs="Arial" w:eastAsia="Arial" w:hAnsi="Arial"/>
          <w:sz w:val="16"/>
          <w:szCs w:val="16"/>
          <w:color w:val="auto"/>
        </w:rPr>
        <w:t xml:space="preserve"> in right of payment with all existing and future Senior Indebtedness of such Guarantor, and the Guarantees issued by each Secured Guarantor will be senior secured obligations of such Guarantor and shall be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in right of payment with all existing and future First Lien Obligations and Senior Indebtedness of such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and for the avoidance of doubt, nothing herein prevents the Credit Facilities Obligations, and Hedging Obligations provided by any lender or letter of credit issuer (or any affiliate thereof) under the Revolving Credit Facility, having priority in right of payment in relation to the Collateral specified by the Intercreditor Agreement for an aggregate principal amount not exceeding €750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74" w:right="259" w:bottom="1440" w:gutter="0" w:footer="0" w:header="0"/>
        </w:sectPr>
      </w:pPr>
    </w:p>
    <w:bookmarkStart w:id="148" w:name="page149"/>
    <w:bookmarkEnd w:id="148"/>
    <w:p>
      <w:pPr>
        <w:ind w:right="1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payment to be made by a Guarantor in respect of its Guarantee shall be made without set-off, counterclaim, reduction or diminution of any kind or nature.</w:t>
      </w:r>
    </w:p>
    <w:p>
      <w:pPr>
        <w:spacing w:after="0" w:line="17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Limitation on Guarantor Liability</w:t>
      </w:r>
      <w:r>
        <w:rPr>
          <w:rFonts w:ascii="Arial" w:cs="Arial" w:eastAsia="Arial" w:hAnsi="Arial"/>
          <w:sz w:val="17"/>
          <w:szCs w:val="17"/>
          <w:color w:val="auto"/>
        </w:rPr>
        <w:t xml:space="preserve">. 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conveyance or fraudulent transfer under applicable law. Each Subsidiary Guarantor that makes a payment under its Guarantee shall be entitled upon payment in full of all guaranteed obligations under this Indenture to a contribution from each other Subsidiary Guarantor in an amount equal to such other Subsidiary Guarantor’s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portion of such payment based on the respective net assets of all the Subsidiary Guarantors at the time of such payment determined in accordance with GAAP.</w:t>
      </w:r>
    </w:p>
    <w:p>
      <w:pPr>
        <w:spacing w:after="0" w:line="183" w:lineRule="exact"/>
        <w:rPr>
          <w:sz w:val="20"/>
          <w:szCs w:val="20"/>
          <w:color w:val="auto"/>
        </w:rPr>
      </w:pPr>
    </w:p>
    <w:p>
      <w:pPr>
        <w:ind w:right="320" w:firstLine="913"/>
        <w:spacing w:after="0" w:line="308"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Execution and Delivery</w:t>
      </w:r>
      <w:r>
        <w:rPr>
          <w:rFonts w:ascii="Arial" w:cs="Arial" w:eastAsia="Arial" w:hAnsi="Arial"/>
          <w:sz w:val="17"/>
          <w:szCs w:val="17"/>
          <w:color w:val="auto"/>
        </w:rPr>
        <w:t>. To evidence its Guarantee set forth in Section 10.01 hereof, each Guarantor hereby agrees that this Indenture shall be executed on behalf of such Guarantor by its President, one of its Vice Presidents or one of its Assistant Vice Presidents.</w:t>
      </w:r>
    </w:p>
    <w:p>
      <w:pPr>
        <w:spacing w:after="0" w:line="14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Each Guarantor hereby agrees that its Guarantee set forth in Section 10.01 hereof shall remain in full force and effect notwithstanding the absence of the endorsement of any notation of such Guarantee on the Notes.</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If an Officer whose signature is on this Indenture no longer holds that office at the time the Trustee authenticates the Note, the Guarantee shall be valid nevertheless.</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the Guarantee set forth in this Indenture on behalf of the Guarantors.</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If required by Section 4.15 hereof, the Issuer shall cause any newly created or acquired Restricted Subsidiary to comply with the provisions of Section 4.15 hereof and this Article 10, to the extent applicable.</w:t>
      </w:r>
    </w:p>
    <w:p>
      <w:pPr>
        <w:spacing w:after="0" w:line="17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Subrogation</w:t>
      </w:r>
      <w:r>
        <w:rPr>
          <w:rFonts w:ascii="Arial" w:cs="Arial" w:eastAsia="Arial" w:hAnsi="Arial"/>
          <w:sz w:val="18"/>
          <w:szCs w:val="18"/>
          <w:color w:val="auto"/>
        </w:rPr>
        <w:t>. Each Guarantor shall be subrogated to all rights of Holders of Notes against the Issuer in respect of any amounts paid by any Guarantor pursuant to the provisions of Section 10.01 hereof; provided that, if an Event of Default has occurred and is continuing, no Guarantor shall be entitled to enforce or receive any payments arising out of, or based upon, such right of subrogation until all amounts then due and payable by the Issuer under this Indenture or the Notes shall have been paid in full.</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Benefits Acknowledged</w:t>
      </w:r>
      <w:r>
        <w:rPr>
          <w:rFonts w:ascii="Arial" w:cs="Arial" w:eastAsia="Arial" w:hAnsi="Arial"/>
          <w:sz w:val="18"/>
          <w:szCs w:val="18"/>
          <w:color w:val="auto"/>
        </w:rPr>
        <w:t>. Each Guarantor acknowledges that it will receive direct and indirect benefits from the financing arrangements contemplated by this Indenture and that the guarantee and waivers made by it pursuant to its Guarantee are knowingly made in contemplation of such benefits.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4" w:right="239" w:bottom="1440" w:gutter="0" w:footer="0" w:header="0"/>
        </w:sectPr>
      </w:pPr>
    </w:p>
    <w:bookmarkStart w:id="149" w:name="page150"/>
    <w:bookmarkEnd w:id="149"/>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10.06. </w:t>
      </w:r>
      <w:r>
        <w:rPr>
          <w:rFonts w:ascii="Arial" w:cs="Arial" w:eastAsia="Arial" w:hAnsi="Arial"/>
          <w:sz w:val="18"/>
          <w:szCs w:val="18"/>
          <w:u w:val="single" w:color="auto"/>
          <w:color w:val="auto"/>
        </w:rPr>
        <w:t>Release of Guarantees</w:t>
      </w:r>
      <w:r>
        <w:rPr>
          <w:rFonts w:ascii="Arial" w:cs="Arial" w:eastAsia="Arial" w:hAnsi="Arial"/>
          <w:sz w:val="18"/>
          <w:szCs w:val="18"/>
          <w:color w:val="auto"/>
        </w:rPr>
        <w:t>. A Guarantee by a Guarantor shall be automatically and unconditionally released and discharged, and no further action by such Guarantor, the Issuer or the Trustee is required for the release of such Guarantor’s Guarantee, upon:</w:t>
      </w:r>
    </w:p>
    <w:p>
      <w:pPr>
        <w:spacing w:after="0" w:line="62" w:lineRule="exact"/>
        <w:rPr>
          <w:sz w:val="20"/>
          <w:szCs w:val="20"/>
          <w:color w:val="auto"/>
        </w:rPr>
      </w:pPr>
    </w:p>
    <w:p>
      <w:pPr>
        <w:ind w:left="460" w:right="260" w:firstLine="443"/>
        <w:spacing w:after="0" w:line="264" w:lineRule="auto"/>
        <w:tabs>
          <w:tab w:leader="none" w:pos="115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any sale, exchange or transfer (by merger or otherwise) of (i) the Capital Stock of such Guarantor (including any sale, exchange or transfer), after which the applicable Guarantor is no longer a Restricted Subsidiary or (ii) all or substantially all the assets of such Guarantor, in each case made in compliance with the applicable provisions of this Indenture;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release or discharge of the guarantee by such Guarantor of Indebtedness under all other First Lien Obligations (including the Senior Credit Facilities, the NXP Notes and the Existing Secured Notes) or such other guarantee that resulted in the creation of such Guarantee, except a discharge or release by or as a result of payment under such guarantee;</w:t>
      </w:r>
    </w:p>
    <w:p>
      <w:pPr>
        <w:spacing w:after="0" w:line="73" w:lineRule="exact"/>
        <w:rPr>
          <w:rFonts w:ascii="Arial" w:cs="Arial" w:eastAsia="Arial" w:hAnsi="Arial"/>
          <w:sz w:val="18"/>
          <w:szCs w:val="18"/>
          <w:color w:val="auto"/>
        </w:rPr>
      </w:pPr>
    </w:p>
    <w:p>
      <w:pPr>
        <w:ind w:left="920" w:right="580" w:firstLine="421"/>
        <w:spacing w:after="0" w:line="277" w:lineRule="auto"/>
        <w:tabs>
          <w:tab w:leader="none" w:pos="162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designation of any Restricted Subsidiary that is a Guarantor as an Unrestricted Subsidiary in compliance with the applicable provisions of this Indenture;</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release of an Unrestricted Parent Guarantor of all Senior Credit Agreement Obligations; or</w:t>
      </w:r>
    </w:p>
    <w:p>
      <w:pPr>
        <w:spacing w:after="0" w:line="117" w:lineRule="exact"/>
        <w:rPr>
          <w:rFonts w:ascii="Arial" w:cs="Arial" w:eastAsia="Arial" w:hAnsi="Arial"/>
          <w:sz w:val="18"/>
          <w:szCs w:val="18"/>
          <w:color w:val="auto"/>
        </w:rPr>
      </w:pPr>
    </w:p>
    <w:p>
      <w:pPr>
        <w:ind w:left="920" w:right="360" w:firstLine="421"/>
        <w:spacing w:after="0" w:line="277" w:lineRule="auto"/>
        <w:tabs>
          <w:tab w:leader="none" w:pos="161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exercise by the Issuer of its Legal Defeasance option or Covenant Defeasance option in accordance with Article 8 hereof or the discharge of the Issuer’s obligations under this Indenture in accordance with the terms of this Indenture; and</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such Guarantor delivering to the Trustee an Officer’s Certificate of such Guarantor and an Opinion of Counsel, each stating that all conditions precedent provided for in this Indenture relating to such transaction have been complied with.</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Agreed Security Principles</w:t>
      </w:r>
      <w:r>
        <w:rPr>
          <w:rFonts w:ascii="Arial" w:cs="Arial" w:eastAsia="Arial" w:hAnsi="Arial"/>
          <w:sz w:val="18"/>
          <w:szCs w:val="18"/>
          <w:color w:val="auto"/>
        </w:rPr>
        <w:t>. Notwithstanding anything to the contrary provided elsewhere in this Article 10, the obligations of the Company and each Guarantor pursuant to this Article 10 shall be subject to the Agreed Security Principles.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COLLATERAL AND SECURITY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The Collateral Agent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91" w:lineRule="auto"/>
        <w:tabs>
          <w:tab w:leader="none" w:pos="115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Each of the Trustee and, by accepting the Notes, the Holders hereby appoints and authorizes the Collateral Agent to act as collateral agent and in such capacity to act as the agent of (and to hold any security interest created by the Collateral Documents relating to the Notes for and on behalf of or on trust for) the Trustee and each Holders for purposes of acquiring, holding and enforcing any and all Liens on Collateral granted by the Issuer or any Secured Guarantor to secure any of the Obligations, together with such powers and discretion as are reasonably incidental thereto. The use of the term “agent” herein with reference to the Collateral Agent is not intended to connote any fiduciary or other implied (or express) obligations arising under agency doctrine of any applicable law other than as a “representative” as such term is used in Section 9-102(a)(72)(E) of the Uniform Commercial Code. Instead, such term is used merely as a matter of market custom, and is intended to create or reflect only an administrative relationship between independent contracting parties.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150" w:name="page151"/>
    <w:bookmarkEnd w:id="150"/>
    <w:p>
      <w:pPr>
        <w:jc w:val="both"/>
        <w:ind w:left="-20" w:right="200" w:firstLine="921"/>
        <w:spacing w:after="0" w:line="264" w:lineRule="auto"/>
        <w:tabs>
          <w:tab w:leader="none" w:pos="1148" w:val="left"/>
        </w:tabs>
        <w:numPr>
          <w:ilvl w:val="1"/>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Collateral Agent shall be subject to such directions as may be given it by the Trustee from time to time as required or permitted by this Indenture and the Intercreditor Agreement. Except as directed by the Trustee and as required or permitted by this Indenture, the Intercreditor Agreement or the other Collateral Documents relating to the Notes, the Collateral Agent shall not be obligated:</w:t>
      </w:r>
    </w:p>
    <w:p>
      <w:pPr>
        <w:spacing w:after="0" w:line="73" w:lineRule="exact"/>
        <w:rPr>
          <w:rFonts w:ascii="Arial" w:cs="Arial" w:eastAsia="Arial" w:hAnsi="Arial"/>
          <w:sz w:val="18"/>
          <w:szCs w:val="18"/>
          <w:color w:val="auto"/>
        </w:rPr>
      </w:pPr>
    </w:p>
    <w:p>
      <w:pPr>
        <w:ind w:left="1100" w:hanging="217"/>
        <w:spacing w:after="0"/>
        <w:tabs>
          <w:tab w:leader="none" w:pos="11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act upon directions purported to be delivered to it by any other Person;</w:t>
      </w:r>
    </w:p>
    <w:p>
      <w:pPr>
        <w:spacing w:after="0" w:line="117" w:lineRule="exact"/>
        <w:rPr>
          <w:rFonts w:ascii="Arial" w:cs="Arial" w:eastAsia="Arial" w:hAnsi="Arial"/>
          <w:sz w:val="18"/>
          <w:szCs w:val="18"/>
          <w:color w:val="auto"/>
        </w:rPr>
      </w:pPr>
    </w:p>
    <w:p>
      <w:pPr>
        <w:ind w:left="1140" w:hanging="257"/>
        <w:spacing w:after="0"/>
        <w:tabs>
          <w:tab w:leader="none" w:pos="11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foreclose upon or otherwise enforce any Lien securing the Notes and the Guarantees of the Notes; or</w:t>
      </w:r>
    </w:p>
    <w:p>
      <w:pPr>
        <w:spacing w:after="0" w:line="117" w:lineRule="exact"/>
        <w:rPr>
          <w:rFonts w:ascii="Arial" w:cs="Arial" w:eastAsia="Arial" w:hAnsi="Arial"/>
          <w:sz w:val="18"/>
          <w:szCs w:val="18"/>
          <w:color w:val="auto"/>
        </w:rPr>
      </w:pPr>
    </w:p>
    <w:p>
      <w:pPr>
        <w:ind w:left="440" w:right="140" w:firstLine="443"/>
        <w:spacing w:after="0" w:line="277" w:lineRule="auto"/>
        <w:tabs>
          <w:tab w:leader="none" w:pos="119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take any other action whatsoever with regard to any or all of the Liens securing the Notes and the Guarantees of the Notes, the Collateral Documents relating to the Notes or the Collateral.</w:t>
      </w:r>
    </w:p>
    <w:p>
      <w:pPr>
        <w:spacing w:after="0" w:line="62" w:lineRule="exact"/>
        <w:rPr>
          <w:rFonts w:ascii="Arial" w:cs="Arial" w:eastAsia="Arial" w:hAnsi="Arial"/>
          <w:sz w:val="18"/>
          <w:szCs w:val="18"/>
          <w:color w:val="auto"/>
        </w:rPr>
      </w:pPr>
    </w:p>
    <w:p>
      <w:pPr>
        <w:ind w:left="-20" w:right="100" w:firstLine="921"/>
        <w:spacing w:after="0" w:line="264" w:lineRule="auto"/>
        <w:tabs>
          <w:tab w:leader="none" w:pos="113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Collateral Agent is authorized and empowered to appoint one or more co-agents or sub-agents or attorneys-in-fact as it deems necessary or appropriate in connection herewith and shall not be liable for the negligence or misconduct of any such agents or attorneys-in-fact selected by it in good faith.</w:t>
      </w:r>
    </w:p>
    <w:p>
      <w:pPr>
        <w:spacing w:after="0" w:line="73" w:lineRule="exact"/>
        <w:rPr>
          <w:rFonts w:ascii="Arial" w:cs="Arial" w:eastAsia="Arial" w:hAnsi="Arial"/>
          <w:sz w:val="18"/>
          <w:szCs w:val="18"/>
          <w:color w:val="auto"/>
        </w:rPr>
      </w:pPr>
    </w:p>
    <w:p>
      <w:pPr>
        <w:ind w:left="-20" w:right="500" w:firstLine="921"/>
        <w:spacing w:after="0" w:line="277" w:lineRule="auto"/>
        <w:tabs>
          <w:tab w:leader="none" w:pos="114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Collateral Agent shall be accountable only for amounts that it actually receives as a result of the enforcement of this Indenture, the Collateral Documents relating to the Notes or the Liens created by the Collateral Documents relating to the Notes.</w:t>
      </w:r>
    </w:p>
    <w:p>
      <w:pPr>
        <w:spacing w:after="0" w:line="62" w:lineRule="exact"/>
        <w:rPr>
          <w:rFonts w:ascii="Arial" w:cs="Arial" w:eastAsia="Arial" w:hAnsi="Arial"/>
          <w:sz w:val="18"/>
          <w:szCs w:val="18"/>
          <w:color w:val="auto"/>
        </w:rPr>
      </w:pPr>
    </w:p>
    <w:p>
      <w:pPr>
        <w:ind w:left="-20" w:firstLine="921"/>
        <w:spacing w:after="0" w:line="287" w:lineRule="auto"/>
        <w:tabs>
          <w:tab w:leader="none" w:pos="1138"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Trustee may, from time to time, appoint another financial institution to act as Collateral Agent so long as such institution meets the requirements applicable to the Trustee as set forth in Section 7.09. Subject to the appointment and acceptance of a successor Collateral Agent as provided in this subsection, the Collateral Agent (if other than the Trustee) may resign at any time by notifying the Trustee and the Issuer. Upon any such resignation, the Trustee shall have the right to appoint a successor Collateral Agent. If no successor shall have been so appointed by the Trustee and shall have accepted such appointment within 30 days after the retiring Collateral Agent gives notice of its resignation, then the retiring Collateral Agent may, on behalf of the Holders and the Trustee, appoint a successor Collateral Agent which shall meet the eligibility requirements applicable to the Trustee as set forth in Section 7.09 and shall accept and comply in all material respects with the Collateral Documents. Upon a successor’s acceptance of its appointment as Collateral Agent hereunder, such successor shall succeed to and become vested with all the rights, powers, privileges and duties of the retiring Collateral Agent hereunder and under the Collateral Documents, and the retiring Collateral Agent shall be discharged from its duties and obligations hereunder and under the Collateral Documents. If the Trustee shall be acting at any time as the Collateral Agent, then it will be deemed to have resigned as Collateral Agent upon its replacement as Trustee pursuant to Section 7.07, and the successor Trustee shall select (or may act as) the replacement Collateral Agent.</w:t>
      </w:r>
    </w:p>
    <w:p>
      <w:pPr>
        <w:spacing w:after="0" w:line="64" w:lineRule="exact"/>
        <w:rPr>
          <w:rFonts w:ascii="Arial" w:cs="Arial" w:eastAsia="Arial" w:hAnsi="Arial"/>
          <w:sz w:val="16"/>
          <w:szCs w:val="16"/>
          <w:color w:val="auto"/>
        </w:rPr>
      </w:pPr>
    </w:p>
    <w:p>
      <w:pPr>
        <w:ind w:left="-20" w:right="160" w:firstLine="921"/>
        <w:spacing w:after="0" w:line="277" w:lineRule="auto"/>
        <w:tabs>
          <w:tab w:leader="none" w:pos="111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Collateral Agent shall have all of the rights of the Trustee under Article VII of this Indenture, including, without limitation, the rights to compensation, indemnification and resignation.</w:t>
      </w:r>
    </w:p>
    <w:p>
      <w:pPr>
        <w:spacing w:after="0" w:line="62" w:lineRule="exact"/>
        <w:rPr>
          <w:rFonts w:ascii="Arial" w:cs="Arial" w:eastAsia="Arial" w:hAnsi="Arial"/>
          <w:sz w:val="18"/>
          <w:szCs w:val="18"/>
          <w:color w:val="auto"/>
        </w:rPr>
      </w:pPr>
    </w:p>
    <w:p>
      <w:pPr>
        <w:ind w:left="-20" w:right="340" w:firstLine="921"/>
        <w:spacing w:after="0" w:line="264" w:lineRule="auto"/>
        <w:tabs>
          <w:tab w:leader="none" w:pos="114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At all times when the Trustee is not itself the Collateral Agent, the Issuer will deliver to the Trustee copies of all Collateral Documents relating to the Notes delivered to the Collateral Agent and copies of all documents delivered to the Collateral Agent pursuant to the Collateral Documents relating to the Notes.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60" w:top="274" w:right="259" w:bottom="1440" w:gutter="0" w:footer="0" w:header="0"/>
        </w:sectPr>
      </w:pPr>
    </w:p>
    <w:bookmarkStart w:id="151" w:name="page152"/>
    <w:bookmarkEnd w:id="1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11.02. </w:t>
      </w:r>
      <w:r>
        <w:rPr>
          <w:rFonts w:ascii="Arial" w:cs="Arial" w:eastAsia="Arial" w:hAnsi="Arial"/>
          <w:sz w:val="18"/>
          <w:szCs w:val="18"/>
          <w:u w:val="single" w:color="auto"/>
          <w:color w:val="auto"/>
        </w:rPr>
        <w:t>The Collateral</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2" w:lineRule="auto"/>
        <w:tabs>
          <w:tab w:leader="none" w:pos="115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payment of the principal of and interest, and premium, if any, on the Notes when and as the same shall be due and payable, whether on an interest payment date, at maturity, by acceleration, repurchase, redemption or otherwise and whether by the Issuer pursuant to the Notes or by any Secured Guarantor pursuant to its Guarantee and the payment of all other First Lien Obligations of the Issuer and the Guarantors under this Indenture, the Notes, the Guarantees and the Collateral Documents relating to the Notes are secured by First Liens on the Collateral, subject to Permitted Liens, as provided in the Collateral Documents relating to the Notes which the Issuer and the Guarantors have entered into simultaneously with the execution of this Indenture, or in certain circumstances, subsequent to the Issue Date or the Merger Date, and will be secured as provided in the Collateral Document relating to the Notes hereafter delivered as required or permitted by this Indenture.</w:t>
      </w:r>
    </w:p>
    <w:p>
      <w:pPr>
        <w:spacing w:after="0" w:line="69" w:lineRule="exact"/>
        <w:rPr>
          <w:rFonts w:ascii="Arial" w:cs="Arial" w:eastAsia="Arial" w:hAnsi="Arial"/>
          <w:sz w:val="17"/>
          <w:szCs w:val="17"/>
          <w:color w:val="auto"/>
        </w:rPr>
      </w:pPr>
    </w:p>
    <w:p>
      <w:pPr>
        <w:ind w:right="40" w:firstLine="921"/>
        <w:spacing w:after="0" w:line="270" w:lineRule="auto"/>
        <w:tabs>
          <w:tab w:leader="none" w:pos="116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Each Holder of Notes, by its acceptance of the Notes and the Guarantees of the Notes, will be deemed to have consented and agreed to the terms of each Collateral Document relating to the Notes, as originally in effect and as amended, supplemented or replaced from time to time in accordance with its terms or the terms of this Indenture, to have authorized and directed the Trustee and the Collateral Agent, as applicable, to enter into the Collateral Documents relating to the Notes to which it is a party, and to have authorized and empowered the Trustee and the Collateral Agent, as applicable, and (through the Intercreditor Agreement) the Directing Agent to bind the Holders of Notes and other holders of First Lien Obligations as set forth in the Collateral Documents to which they are a party and to perform its respective obligations and exercise its respective rights and powers thereunder. Notwithstanding the foregoing, no such consent or deemed consent shall be deemed or construed to represent an amendment or waiver, in whole or in part, of any provision of this Indenture or the Notes. The foregoing will not limit the right of the Issuer to amend, waive or otherwise modify the Collateral Documents relating to the Notes in accordance with their terms.</w:t>
      </w:r>
    </w:p>
    <w:p>
      <w:pPr>
        <w:spacing w:after="0" w:line="73" w:lineRule="exact"/>
        <w:rPr>
          <w:rFonts w:ascii="Arial" w:cs="Arial" w:eastAsia="Arial" w:hAnsi="Arial"/>
          <w:sz w:val="17"/>
          <w:szCs w:val="17"/>
          <w:color w:val="auto"/>
        </w:rPr>
      </w:pPr>
    </w:p>
    <w:p>
      <w:pPr>
        <w:ind w:right="200" w:firstLine="921"/>
        <w:spacing w:after="0" w:line="255" w:lineRule="auto"/>
        <w:tabs>
          <w:tab w:leader="none" w:pos="115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Trustee and each Holder, by accepting the Notes and the Guarantees of the Notes, acknowledges that, as more fully set forth in the Collateral Documents relating to the Notes, the Collateral as now or hereafter constituted shall be held by the Collateral Agent for the benefit of all the Holders, the Collateral Agent and the Trustee, and that the Lien granted by the Collateral Documents relating to the Notes in respect of the Trustee and the Holders is subject to and qualified and limited in all respects by the Collateral Documents relating to the Notes and actions that may be taken thereunder. In the event of conflict between the Intercreditor Agreement, any of the other Collateral Documents and this Indenture, the Intercreditor Agreement shall control.</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Impairment of Security Interest</w:t>
      </w:r>
      <w:r>
        <w:rPr>
          <w:rFonts w:ascii="Arial" w:cs="Arial" w:eastAsia="Arial" w:hAnsi="Arial"/>
          <w:sz w:val="18"/>
          <w:szCs w:val="18"/>
          <w:color w:val="auto"/>
        </w:rPr>
        <w:t>.</w:t>
      </w:r>
    </w:p>
    <w:p>
      <w:pPr>
        <w:spacing w:after="0" w:line="225"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 xml:space="preserve">Neither the Issuer nor any Secured Guarantor will take or omit to take any action which would materially adversely affect or impair the Liens in favor of the Collateral Agent and the Holders with respect to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be deemed to prohibit any action or inaction that is otherwise permitted by this Indenture or required by law.</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After-Acquired Collateral</w:t>
      </w:r>
      <w:r>
        <w:rPr>
          <w:rFonts w:ascii="Arial" w:cs="Arial" w:eastAsia="Arial" w:hAnsi="Arial"/>
          <w:sz w:val="18"/>
          <w:szCs w:val="18"/>
          <w:color w:val="auto"/>
        </w:rPr>
        <w:t>. If:</w:t>
      </w:r>
    </w:p>
    <w:p>
      <w:pPr>
        <w:spacing w:after="0" w:line="117" w:lineRule="exact"/>
        <w:rPr>
          <w:sz w:val="20"/>
          <w:szCs w:val="20"/>
          <w:color w:val="auto"/>
        </w:rPr>
      </w:pPr>
    </w:p>
    <w:p>
      <w:pPr>
        <w:ind w:firstLine="921"/>
        <w:spacing w:after="0" w:line="277" w:lineRule="auto"/>
        <w:tabs>
          <w:tab w:leader="none" w:pos="115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property (other than Excluded Assets) is acquired by the Issuer or a Secured Guarantor that is intended to be subject to the Lien created by the Collateral Documents relating to the Notes but is not so subject;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 Excluded Asset ceases to be an Excluded Asset;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274" w:right="259" w:bottom="1440" w:gutter="0" w:footer="0" w:header="0"/>
        </w:sectPr>
      </w:pPr>
    </w:p>
    <w:bookmarkStart w:id="152" w:name="page153"/>
    <w:bookmarkEnd w:id="152"/>
    <w:p>
      <w:pPr>
        <w:ind w:left="1140" w:hanging="239"/>
        <w:spacing w:after="0"/>
        <w:tabs>
          <w:tab w:leader="none" w:pos="11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Subsidiary of the Company becomes a Secured Guarantor; or</w:t>
      </w:r>
    </w:p>
    <w:p>
      <w:pPr>
        <w:spacing w:after="0" w:line="117" w:lineRule="exact"/>
        <w:rPr>
          <w:rFonts w:ascii="Arial" w:cs="Arial" w:eastAsia="Arial" w:hAnsi="Arial"/>
          <w:sz w:val="18"/>
          <w:szCs w:val="18"/>
          <w:color w:val="auto"/>
        </w:rPr>
      </w:pPr>
    </w:p>
    <w:p>
      <w:pPr>
        <w:ind w:left="-20" w:firstLine="921"/>
        <w:spacing w:after="0" w:line="285" w:lineRule="auto"/>
        <w:tabs>
          <w:tab w:leader="none" w:pos="114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any property of the Issuer or any Secured Guarantor becomes subject to a Lien with respect to any First Lien Obligations (or the Guarantees thereof) and is not already subject to the Lien created by the Collateral Documents relating to the Notes, then the Issuer or such Secured Guarantor will, as soon as practical after such property’s acquisition or such property no longer being an Excluded Asset or such Subsidiary becoming a Secured Guarantor or such property becoming subject to a Lien securing any First Lien Obligation (or the Guarantees thereof), as applicable, provide security over such property (or, in the case of a new Secured Guarantor, all of its assets that are not Excluded Assets) in favor of the Collateral Agent on a basis that would create a Lien on such terms, in each case, consistent with the Collateral Documents in effect at such time, and take such additional actions as are reasonable and appropriate or advisable to create and fully perfect in favor of the Secured Parties under the Collateral Documents relating to the Notes a valid and enforceable security interest in such Collateral (to the extent such perfection is required under the Collateral Documents), which shall be free of all other Liens except for Permitted Liens;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regard to Material Real Property, the Issuer and any Guarantor shall have 90 days (or such longer period as the Trustee may agree in its sole discretion) from the date of acquisition to execute and deliver the items described under Section 11.05 with respect to such real property and with respect to the pledge of equity interests in a Foreign Subsidiary, the Issuer and any Guarantor shall have 90 days or such longer period as the Trustee may agree in its sole discretion from the date of acquisition to provide, execute and deliver the items described in Section 11.05 (b). Any security interest provided pursuant to this Section 11.04 (other than with respect to assets specified in (a) and (b) above that are automatically subject to a perfected security interest under the Collateral Documents relating to the Notes) shall be accompanied by such Opinions of Counsel to the Issuer or the Subsidiary Guarantors addressed to the Trustee and the Collateral Agent as are reasonably requested by the Trustee or the Collateral Agent and customarily given by such counsel in the relevant jurisdiction, in form and substance customary for such jurisdiction. In addition, if perfection is required by the Collateral Documents relating to the Notes (other than with respect to assets specified in (a) and (b) above that are automatically subject to a perfected security interest under the Collateral Documents related to the Notes), the Issuer shall deliver an Officer’s Certificate to the Trustee and the Collateral Agent upon reasonable request by the Trustee or the Collateral Agent, certifying that the necessary measures have been taken to perfect the security interest in such property.</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Real Estate Mortgages and Filing; Pledge of Foreign Collateral</w:t>
      </w:r>
      <w:r>
        <w:rPr>
          <w:rFonts w:ascii="Arial" w:cs="Arial" w:eastAsia="Arial" w:hAnsi="Arial"/>
          <w:sz w:val="18"/>
          <w:szCs w:val="18"/>
          <w:color w:val="auto"/>
        </w:rPr>
        <w:t>.</w:t>
      </w:r>
    </w:p>
    <w:p>
      <w:pPr>
        <w:spacing w:after="0" w:line="117" w:lineRule="exact"/>
        <w:rPr>
          <w:sz w:val="20"/>
          <w:szCs w:val="20"/>
          <w:color w:val="auto"/>
        </w:rPr>
      </w:pPr>
    </w:p>
    <w:p>
      <w:pPr>
        <w:ind w:left="-20" w:right="180" w:firstLine="921"/>
        <w:spacing w:after="0" w:line="302" w:lineRule="auto"/>
        <w:tabs>
          <w:tab w:leader="none" w:pos="113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With respect to Material Real Property that secures (or will secure) the Notes or the Guarantees, the Issuer or the Secured Guarantor must provide the Trustee with filed Mortgages with respect to such owned real property within 90 days (or such longer period as the Trustee may agree in its sole discretion) of the Issue Date or 90 days (or such longer period as the Trustee may agree in its sole discretion) of the acquisition of, or, if requested by the Trustee, entry into, or renewal of, a ground lease in respect of, such real property, as the case may be, in each case together with:</w:t>
      </w:r>
    </w:p>
    <w:p>
      <w:pPr>
        <w:spacing w:after="0" w:line="46" w:lineRule="exact"/>
        <w:rPr>
          <w:rFonts w:ascii="Arial" w:cs="Arial" w:eastAsia="Arial" w:hAnsi="Arial"/>
          <w:sz w:val="16"/>
          <w:szCs w:val="16"/>
          <w:color w:val="auto"/>
        </w:rPr>
      </w:pPr>
    </w:p>
    <w:p>
      <w:pPr>
        <w:ind w:left="440" w:right="160" w:firstLine="443"/>
        <w:spacing w:after="0" w:line="255" w:lineRule="auto"/>
        <w:tabs>
          <w:tab w:leader="none" w:pos="109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evidence that counterparts of the Mortgages have been duly executed, acknowledged and delivered and are in form suitable for filing or recording in all filing or recording offices that the Trustee may deem reasonably necessary or desirable in order to create a valid and subsisting perfected Lien on the property and/or rights described therein in favor of the Trustee for the benefit of the Holders,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the Liens securing the Senior Credit Agreement Obligations, the Existing Secured Notes and the other First Lien Obligations as among the holders thereof in accordance with the Intercreditor Agreement, and that all filing and recording taxes and fees have been paid or otherwise provided for in a manner reasonably satisfactory to the Trustee;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60" w:top="274" w:right="239" w:bottom="1440" w:gutter="0" w:footer="0" w:header="0"/>
        </w:sectPr>
      </w:pPr>
    </w:p>
    <w:bookmarkStart w:id="153" w:name="page154"/>
    <w:bookmarkEnd w:id="153"/>
    <w:p>
      <w:pPr>
        <w:ind w:left="440" w:right="60" w:firstLine="443"/>
        <w:spacing w:after="0" w:line="297" w:lineRule="auto"/>
        <w:tabs>
          <w:tab w:leader="none" w:pos="1143" w:val="left"/>
        </w:tabs>
        <w:numPr>
          <w:ilvl w:val="0"/>
          <w:numId w:val="2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fully paid American Land Title Association Lender’s Extended Coverage title insurance policies or the equivalent or other form available in each applicable jurisdiction in form and substance, with endorsements and in amount, reasonably acceptable to the Trustee (not to exceed the value of the real properties covered thereby), issued, coinsured and reinsured by title insurers reasonably acceptable to the Trustee, insuring the Mortgages to be valid subsisting Liens on the property described therein, free and clear of all defects and encumbrances, subject to Permitted Liens, and providing for such other affirmative insurance and such coinsurance and direct access reinsurance as the Trustee may reasonably request;</w:t>
      </w:r>
    </w:p>
    <w:p>
      <w:pPr>
        <w:spacing w:after="0" w:line="50" w:lineRule="exact"/>
        <w:rPr>
          <w:rFonts w:ascii="Arial" w:cs="Arial" w:eastAsia="Arial" w:hAnsi="Arial"/>
          <w:sz w:val="16"/>
          <w:szCs w:val="16"/>
          <w:color w:val="auto"/>
        </w:rPr>
      </w:pPr>
    </w:p>
    <w:p>
      <w:pPr>
        <w:ind w:left="1200" w:hanging="317"/>
        <w:spacing w:after="0"/>
        <w:tabs>
          <w:tab w:leader="none" w:pos="12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surveys with respect to such owned real property;</w:t>
      </w:r>
    </w:p>
    <w:p>
      <w:pPr>
        <w:spacing w:after="0" w:line="117" w:lineRule="exact"/>
        <w:rPr>
          <w:rFonts w:ascii="Arial" w:cs="Arial" w:eastAsia="Arial" w:hAnsi="Arial"/>
          <w:sz w:val="18"/>
          <w:szCs w:val="18"/>
          <w:color w:val="auto"/>
        </w:rPr>
      </w:pPr>
    </w:p>
    <w:p>
      <w:pPr>
        <w:ind w:left="440" w:right="480" w:firstLine="443"/>
        <w:spacing w:after="0" w:line="342" w:lineRule="auto"/>
        <w:tabs>
          <w:tab w:leader="none" w:pos="118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opinions of local counsel for the Issuer and the Secured Guarantors in states in which the real properties are located, with respect to the enforceability and perfection of the Mortgages and any related fixture filings in form and substance reasonably satisfactory to the Trustee; and</w:t>
      </w:r>
    </w:p>
    <w:p>
      <w:pPr>
        <w:spacing w:after="0" w:line="15" w:lineRule="exact"/>
        <w:rPr>
          <w:rFonts w:ascii="Arial" w:cs="Arial" w:eastAsia="Arial" w:hAnsi="Arial"/>
          <w:sz w:val="16"/>
          <w:szCs w:val="16"/>
          <w:color w:val="auto"/>
        </w:rPr>
      </w:pPr>
    </w:p>
    <w:p>
      <w:pPr>
        <w:ind w:left="440" w:right="180" w:firstLine="443"/>
        <w:spacing w:after="0" w:line="277" w:lineRule="auto"/>
        <w:tabs>
          <w:tab w:leader="none" w:pos="113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such other evidence that all other actions that the Trustee may reasonably deem necessary or desirable in order to create valid and subsisting Liens on the property described in the Mortgages has been taken.</w:t>
      </w:r>
    </w:p>
    <w:p>
      <w:pPr>
        <w:spacing w:after="0" w:line="62" w:lineRule="exact"/>
        <w:rPr>
          <w:rFonts w:ascii="Arial" w:cs="Arial" w:eastAsia="Arial" w:hAnsi="Arial"/>
          <w:sz w:val="18"/>
          <w:szCs w:val="18"/>
          <w:color w:val="auto"/>
        </w:rPr>
      </w:pPr>
    </w:p>
    <w:p>
      <w:pPr>
        <w:ind w:left="-20" w:firstLine="921"/>
        <w:spacing w:after="0" w:line="289" w:lineRule="auto"/>
        <w:tabs>
          <w:tab w:leader="none" w:pos="1148"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With respect to the equity interests of wholly owned Material Foreign Subsidiaries of the Company and Specified Foreign Subsidiaries that secure (or will secure) the Notes or the Guarantees, the Issuer or the Secured Guarantor must provide the Trustee within 90 days (or such longer period as the Trustee may agree in its sole discretion) of the Issue Date or 90 days (or such longer period as the Trustee may agree in its sole discretion) upon the formation or acquisition of a wholly owned Material Foreign Subsidiary of the Company or Specified Foreign Subsidiaries: (a) counterparts of each pledge agreement to be entered into in connection with the pledge of the equity interests of each such wholly owned Material Foreign Subsidiary of the Company or such Specified Foreign Subsidiary, and all other documents and instruments required by law or reasonably requested by the Trustee to be filed, registered or recorded to create the Liens in such equity interests and to perfect such Liens to the extent required by, this Indenture and the Collateral Documents relating to the Notes; and (b) a signed copy of an opinion, addressed to the Trustee, of counsel for the Issuer and the Secured Guarantors as reasonably acceptable to the Trustee as to such matters set forth in clause (a), as the Trustee may reasonably request</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Release of Collateral</w:t>
      </w:r>
      <w:r>
        <w:rPr>
          <w:rFonts w:ascii="Arial" w:cs="Arial" w:eastAsia="Arial" w:hAnsi="Arial"/>
          <w:sz w:val="18"/>
          <w:szCs w:val="18"/>
          <w:color w:val="auto"/>
        </w:rPr>
        <w:t>.</w:t>
      </w:r>
    </w:p>
    <w:p>
      <w:pPr>
        <w:spacing w:after="0" w:line="117" w:lineRule="exact"/>
        <w:rPr>
          <w:sz w:val="20"/>
          <w:szCs w:val="20"/>
          <w:color w:val="auto"/>
        </w:rPr>
      </w:pPr>
    </w:p>
    <w:p>
      <w:pPr>
        <w:ind w:left="-20" w:right="560" w:firstLine="921"/>
        <w:spacing w:after="0" w:line="277" w:lineRule="auto"/>
        <w:tabs>
          <w:tab w:leader="none" w:pos="113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Liens on the Collateral will be automatically released without requirement for consent or approval from the Holders, the Trustee or the Collateral Agent:</w:t>
      </w:r>
    </w:p>
    <w:p>
      <w:pPr>
        <w:spacing w:after="0" w:line="62" w:lineRule="exact"/>
        <w:rPr>
          <w:rFonts w:ascii="Arial" w:cs="Arial" w:eastAsia="Arial" w:hAnsi="Arial"/>
          <w:sz w:val="18"/>
          <w:szCs w:val="18"/>
          <w:color w:val="auto"/>
        </w:rPr>
      </w:pPr>
    </w:p>
    <w:p>
      <w:pPr>
        <w:ind w:left="440" w:right="340" w:firstLine="443"/>
        <w:spacing w:after="0" w:line="277" w:lineRule="auto"/>
        <w:tabs>
          <w:tab w:leader="none" w:pos="109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with respect to any Collateral securing the Guarantee of the Notes of any Secured Guarantor, when such Secured Guarantor’s Guarantee is released in accordance with the terms of this Indenture;</w:t>
      </w:r>
    </w:p>
    <w:p>
      <w:pPr>
        <w:spacing w:after="0" w:line="62" w:lineRule="exact"/>
        <w:rPr>
          <w:rFonts w:ascii="Arial" w:cs="Arial" w:eastAsia="Arial" w:hAnsi="Arial"/>
          <w:sz w:val="18"/>
          <w:szCs w:val="18"/>
          <w:color w:val="auto"/>
        </w:rPr>
      </w:pPr>
    </w:p>
    <w:p>
      <w:pPr>
        <w:ind w:left="1140" w:hanging="257"/>
        <w:spacing w:after="0"/>
        <w:tabs>
          <w:tab w:leader="none" w:pos="11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upon payment in full of principal, interest and all other obligations on the Notes issued under this Indenture;</w:t>
      </w:r>
    </w:p>
    <w:p>
      <w:pPr>
        <w:spacing w:after="0" w:line="117" w:lineRule="exact"/>
        <w:rPr>
          <w:rFonts w:ascii="Arial" w:cs="Arial" w:eastAsia="Arial" w:hAnsi="Arial"/>
          <w:sz w:val="18"/>
          <w:szCs w:val="18"/>
          <w:color w:val="auto"/>
        </w:rPr>
      </w:pPr>
    </w:p>
    <w:p>
      <w:pPr>
        <w:ind w:left="1200" w:hanging="317"/>
        <w:spacing w:after="0"/>
        <w:tabs>
          <w:tab w:leader="none" w:pos="12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as provided in Section 9.02;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60" w:top="274" w:right="239" w:bottom="1440" w:gutter="0" w:footer="0" w:header="0"/>
        </w:sectPr>
      </w:pPr>
    </w:p>
    <w:bookmarkStart w:id="154" w:name="page155"/>
    <w:bookmarkEnd w:id="154"/>
    <w:p>
      <w:pPr>
        <w:ind w:left="460" w:right="420" w:firstLine="443"/>
        <w:spacing w:after="0" w:line="277" w:lineRule="auto"/>
        <w:tabs>
          <w:tab w:leader="none" w:pos="1203"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any disposition of Collateral (but excluding any transaction subject to Section 5.01 where the recipient is required to become the obligor on the Notes or a Secured Guarantor) that is permitted by this Indenture;</w:t>
      </w:r>
    </w:p>
    <w:p>
      <w:pPr>
        <w:spacing w:after="0" w:line="62" w:lineRule="exact"/>
        <w:rPr>
          <w:rFonts w:ascii="Arial" w:cs="Arial" w:eastAsia="Arial" w:hAnsi="Arial"/>
          <w:sz w:val="18"/>
          <w:szCs w:val="18"/>
          <w:color w:val="auto"/>
        </w:rPr>
      </w:pPr>
    </w:p>
    <w:p>
      <w:pPr>
        <w:ind w:left="460" w:right="120" w:firstLine="443"/>
        <w:spacing w:after="0" w:line="273" w:lineRule="auto"/>
        <w:tabs>
          <w:tab w:leader="none" w:pos="1153"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with respect to any particular item of Collateral, if there are outstanding Obligations under the Revolving Credit Facility and/or the Term Loan Facilities (as applicable), upon release by Collateral Agent of the Liens on such item of Collateral securing the Senior Credit Agreement Obligations and the concurrent release of the Liens on such item of Collateral securing any other First Lien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there is then outstanding under the Revolving Credit Facility and/or the Term Loan Facilities (as applicable)aggregate debt and debt commitments in an amount that exceeds the aggregate principal amount of the then outstanding Notes;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Collateral Agent may not release all or substantially all of the Collateral without the consent of the Trustee on behalf of the Holders of the Notes;</w:t>
      </w:r>
    </w:p>
    <w:p>
      <w:pPr>
        <w:spacing w:after="0" w:line="70" w:lineRule="exact"/>
        <w:rPr>
          <w:rFonts w:ascii="Arial" w:cs="Arial" w:eastAsia="Arial" w:hAnsi="Arial"/>
          <w:sz w:val="17"/>
          <w:szCs w:val="17"/>
          <w:color w:val="auto"/>
        </w:rPr>
      </w:pPr>
    </w:p>
    <w:p>
      <w:pPr>
        <w:ind w:left="460" w:firstLine="443"/>
        <w:spacing w:after="0" w:line="257" w:lineRule="auto"/>
        <w:tabs>
          <w:tab w:leader="none" w:pos="120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with respect to any particular item of Collateral, if there are no outstanding Obligations under the Senior Credit Facilities, upon release by the collateral agent for the largest class of outstanding First Lien Obligations at such time of the Liens on such item of Collateral securing such First Lien Obligations and the concurrent release of the Liens on such item of Collateral securing any other First Lien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Applicable Authorized Representative may not release all or substantially all of the Collateral without the consent of the Trustee on behalf of the Holders of the Notes;</w:t>
      </w:r>
    </w:p>
    <w:p>
      <w:pPr>
        <w:spacing w:after="0" w:line="80" w:lineRule="exact"/>
        <w:rPr>
          <w:rFonts w:ascii="Arial" w:cs="Arial" w:eastAsia="Arial" w:hAnsi="Arial"/>
          <w:sz w:val="18"/>
          <w:szCs w:val="18"/>
          <w:color w:val="auto"/>
        </w:rPr>
      </w:pPr>
    </w:p>
    <w:p>
      <w:pPr>
        <w:ind w:left="1260" w:hanging="357"/>
        <w:spacing w:after="0"/>
        <w:tabs>
          <w:tab w:leader="none" w:pos="12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such property or other assets is or becomes Excluded Assets; or</w:t>
      </w:r>
    </w:p>
    <w:p>
      <w:pPr>
        <w:spacing w:after="0" w:line="117" w:lineRule="exact"/>
        <w:rPr>
          <w:rFonts w:ascii="Arial" w:cs="Arial" w:eastAsia="Arial" w:hAnsi="Arial"/>
          <w:sz w:val="18"/>
          <w:szCs w:val="18"/>
          <w:color w:val="auto"/>
        </w:rPr>
      </w:pPr>
    </w:p>
    <w:p>
      <w:pPr>
        <w:ind w:left="460" w:right="340" w:firstLine="443"/>
        <w:spacing w:after="0" w:line="277" w:lineRule="auto"/>
        <w:tabs>
          <w:tab w:leader="none" w:pos="130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upon the exercise by the Issuer of its legal defeasance or covenant defeasance options under Sections 8.02 and 8.03, respectively, or the satisfaction and discharge of the Issuer’s obligations under Section 12.01.</w:t>
      </w:r>
    </w:p>
    <w:p>
      <w:pPr>
        <w:spacing w:after="0" w:line="170"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In addition, subject to certain limitations set forth in the Collateral Documents, all Collateral used, sold, transferred or otherwise disposed of in accordance with the terms of the applicable First Lien Debt Documents, including any waiver or amendment of these documents, will automatically be released from the Lien securing the Notes or the Guarantees of the Notes so that the use, sale, transfer or other disposition may be made free of such Lien.</w:t>
      </w:r>
    </w:p>
    <w:p>
      <w:pPr>
        <w:spacing w:after="0" w:line="39" w:lineRule="exact"/>
        <w:rPr>
          <w:sz w:val="20"/>
          <w:szCs w:val="20"/>
          <w:color w:val="auto"/>
        </w:rPr>
      </w:pPr>
    </w:p>
    <w:p>
      <w:pPr>
        <w:ind w:right="100" w:firstLine="921"/>
        <w:spacing w:after="0" w:line="286" w:lineRule="auto"/>
        <w:tabs>
          <w:tab w:leader="none" w:pos="116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At the request of the Issuer, the Trustee shall execute and deliver any documents, instructions or instruments evidencing the consent of the Holders of the Notes to any permitted release. The Trustee and the Collateral Agent shall take such action under this Indenture and the Collateral Documents relating to the Notes or otherwise as may be reasonably requested by the Issuer to give effect to or evidence any such release.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Authorization of Actions to be Taken by the Trustee or the Collateral Agent under the Collateral Documents relating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03" w:lineRule="exact"/>
        <w:rPr>
          <w:sz w:val="20"/>
          <w:szCs w:val="20"/>
          <w:color w:val="auto"/>
        </w:rPr>
      </w:pPr>
    </w:p>
    <w:p>
      <w:pPr>
        <w:ind w:right="80" w:firstLine="921"/>
        <w:spacing w:after="0" w:line="276" w:lineRule="auto"/>
        <w:tabs>
          <w:tab w:leader="none" w:pos="115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Subject to the provisions of the Collateral Documents relating to the Notes and unless otherwise expressly provided herein or therein, the Trustee may, at the direction of a majority of the Holders, direct the Collateral Agent to take all actions necessary or appropriate in order to (i) enforce any of the terms of the Collateral Documents relating to the Notes and (ii) collect and receive any and all amounts payable in respect of the Collateral in respect of the obligations of the Issuer and the Secured Guarantors hereunder and thereunder. Subject to the provisions of the Collateral Documents relating to the Notes, the Collateral Agent shall have the power to institute and to maintain such suits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274" w:right="259" w:bottom="1440" w:gutter="0" w:footer="0" w:header="0"/>
        </w:sectPr>
      </w:pPr>
    </w:p>
    <w:bookmarkStart w:id="155" w:name="page156"/>
    <w:bookmarkEnd w:id="155"/>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in order to prevent any impairment of the Collateral by any acts that may be unlawful or in violation of the Collateral Documents relating to the Notes or this Indenture, and such suits and proceedings as are necessary to preserve or protect its interest and the interests of the Holders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granted pursuant to any Collateral Document relating to the Notes or be prejudicial to the interests of the Holders or the Trustee).</w:t>
      </w:r>
    </w:p>
    <w:p>
      <w:pPr>
        <w:spacing w:after="0" w:line="50" w:lineRule="exact"/>
        <w:rPr>
          <w:sz w:val="20"/>
          <w:szCs w:val="20"/>
          <w:color w:val="auto"/>
        </w:rPr>
      </w:pPr>
    </w:p>
    <w:p>
      <w:pPr>
        <w:ind w:firstLine="921"/>
        <w:spacing w:after="0" w:line="270" w:lineRule="auto"/>
        <w:tabs>
          <w:tab w:leader="none" w:pos="116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Trustee or the Collateral Agent shall not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except to the extent such action or omission constitutes negligence (or gross negligence in the case of the Collateral Agent) or willful misconduct on the part of the Trustee or the Collateral Agent, for the validity or sufficiency of the Collateral or any agreement or assignment contained therein, for the validity of the title of the Issuer to the Collateral, for insuring the Collateral or for the payment of taxes, charges, assessments or Liens upon the Collateral or otherwise as to the maintenance of the Collateral. Notwithstanding the foregoing, neither the Trustee nor the Collateral Agent shall have responsibility for recording, filing, re-recording or refiling any financing statement, continuation statement, document, instrument or other notice in any public office at any time or times or to otherwise take any action to perfect or maintain the perfection of any security interest granted to it under the Collateral Documents relating to the Notes or otherwise.</w:t>
      </w:r>
    </w:p>
    <w:p>
      <w:pPr>
        <w:spacing w:after="0" w:line="73" w:lineRule="exact"/>
        <w:rPr>
          <w:rFonts w:ascii="Arial" w:cs="Arial" w:eastAsia="Arial" w:hAnsi="Arial"/>
          <w:sz w:val="17"/>
          <w:szCs w:val="17"/>
          <w:color w:val="auto"/>
        </w:rPr>
      </w:pPr>
    </w:p>
    <w:p>
      <w:pPr>
        <w:ind w:firstLine="921"/>
        <w:spacing w:after="0" w:line="257" w:lineRule="auto"/>
        <w:tabs>
          <w:tab w:leader="none" w:pos="115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Where any provision of the Collateral Documents relating to the Notes requires that additional property or assets be provided as Collateral, the Issuer shall, or shall cause the applicable Secured Guarantors to, take any and all actions reasonably required to cause such additional property or assets to be provided as Collateral and to create and perfect a valid and enforceable first-priority security interest in such property or assets (subject to Permitted Liens and other exceptions in the Collateral Documents relating to the Notes) in favor of the Collateral Agent for the benefit of the Holders in accordance with and to the extent required under the Collateral Documents relating to the Notes.</w:t>
      </w:r>
    </w:p>
    <w:p>
      <w:pPr>
        <w:spacing w:after="0" w:line="80" w:lineRule="exact"/>
        <w:rPr>
          <w:rFonts w:ascii="Arial" w:cs="Arial" w:eastAsia="Arial" w:hAnsi="Arial"/>
          <w:sz w:val="18"/>
          <w:szCs w:val="18"/>
          <w:color w:val="auto"/>
        </w:rPr>
      </w:pPr>
    </w:p>
    <w:p>
      <w:pPr>
        <w:jc w:val="both"/>
        <w:ind w:right="340" w:firstLine="921"/>
        <w:spacing w:after="0" w:line="259" w:lineRule="auto"/>
        <w:tabs>
          <w:tab w:leader="none" w:pos="116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Trustee, in giving any consent or approval under this Indenture or the Collateral Documents relating to the Notes, shall be entitled to receive, as a condition to such consent or approval, an Officer’s Certificate to the effect that the action or omission for which consent or approval is to be given does not violate this Indenture or the Collateral Documents relating to the Notes, and the Trustee shall be fully protected in giving such consent or approval on the basis of such Officer’s Certificate.</w:t>
      </w:r>
    </w:p>
    <w:p>
      <w:pPr>
        <w:spacing w:after="0" w:line="18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Agreed Security Principles</w:t>
      </w:r>
      <w:r>
        <w:rPr>
          <w:rFonts w:ascii="Arial" w:cs="Arial" w:eastAsia="Arial" w:hAnsi="Arial"/>
          <w:sz w:val="18"/>
          <w:szCs w:val="18"/>
          <w:color w:val="auto"/>
        </w:rPr>
        <w:t>. Notwithstanding anything to the contrary provided elsewhere in this Article 11, the obligations of the Company and each Guarantor pursuant to this Article 11 shall be subject to the Agreed Security Principles.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SATISFACTION AND DISCHARGE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Satisfaction and Discharge</w:t>
      </w:r>
      <w:r>
        <w:rPr>
          <w:rFonts w:ascii="Arial" w:cs="Arial" w:eastAsia="Arial" w:hAnsi="Arial"/>
          <w:sz w:val="16"/>
          <w:szCs w:val="16"/>
          <w:color w:val="auto"/>
        </w:rPr>
        <w:t>. This Indenture shall be discharged and shall cease to be of further effect as to all Notes, when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either: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274" w:right="279" w:bottom="1440" w:gutter="0" w:footer="0" w:header="0"/>
        </w:sectPr>
      </w:pPr>
    </w:p>
    <w:bookmarkStart w:id="156" w:name="page157"/>
    <w:bookmarkEnd w:id="156"/>
    <w:p>
      <w:pPr>
        <w:ind w:left="460" w:right="40" w:firstLine="443"/>
        <w:spacing w:after="0" w:line="277" w:lineRule="auto"/>
        <w:tabs>
          <w:tab w:leader="none" w:pos="1153"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Notes heretofore authenticated and delivered, except lost, stolen or destroyed Notes which have been replaced or paid and Notes for whose payment money has heretofore been deposited in trust, have been delivered to the Trustee for cancellation; or</w:t>
      </w:r>
    </w:p>
    <w:p>
      <w:pPr>
        <w:spacing w:after="0" w:line="62" w:lineRule="exact"/>
        <w:rPr>
          <w:rFonts w:ascii="Arial" w:cs="Arial" w:eastAsia="Arial" w:hAnsi="Arial"/>
          <w:sz w:val="18"/>
          <w:szCs w:val="18"/>
          <w:color w:val="auto"/>
        </w:rPr>
      </w:pPr>
    </w:p>
    <w:p>
      <w:pPr>
        <w:ind w:left="460" w:right="120" w:firstLine="443"/>
        <w:spacing w:after="0" w:line="272" w:lineRule="auto"/>
        <w:tabs>
          <w:tab w:leader="none" w:pos="119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 all Notes not heretofore delivered to the Trustee for cancellation have become due and payable by reason of the making of a notice of redemption or otherwise, will become due and payable within one year or are to be called for redemption within one year under arrangements satisfactory to the Trustee for the giving of notice of redemption by the Trustee in the name, and at the expense, of the Issuer, and the Issuer or any Guarantor has irrevocably deposited or caused to be deposited with the Trustee as trust funds in trust solely for the benefit of the Holders of the Notes, cash in U.S. dollars, U.S. dollar-denominated Government Securities, or a combination thereof, in such amounts as will be sufficient without consideration of any reinvestment of interest to pay and discharge the entire indebtedness on the Notes not heretofore delivered to the Trustee for cancellation for principal, premium, if any, and accrued interest to the date of maturity or redemption;</w:t>
      </w:r>
    </w:p>
    <w:p>
      <w:pPr>
        <w:spacing w:after="0" w:line="69" w:lineRule="exact"/>
        <w:rPr>
          <w:rFonts w:ascii="Arial" w:cs="Arial" w:eastAsia="Arial" w:hAnsi="Arial"/>
          <w:sz w:val="17"/>
          <w:szCs w:val="17"/>
          <w:color w:val="auto"/>
        </w:rPr>
      </w:pPr>
    </w:p>
    <w:p>
      <w:pPr>
        <w:ind w:left="920" w:right="80" w:firstLine="421"/>
        <w:spacing w:after="0" w:line="271" w:lineRule="auto"/>
        <w:tabs>
          <w:tab w:leader="none" w:pos="1625" w:val="left"/>
        </w:tabs>
        <w:numPr>
          <w:ilvl w:val="1"/>
          <w:numId w:val="253"/>
        </w:numPr>
        <w:rPr>
          <w:rFonts w:ascii="Arial" w:cs="Arial" w:eastAsia="Arial" w:hAnsi="Arial"/>
          <w:sz w:val="17"/>
          <w:szCs w:val="17"/>
          <w:color w:val="auto"/>
        </w:rPr>
      </w:pPr>
      <w:r>
        <w:rPr>
          <w:rFonts w:ascii="Arial" w:cs="Arial" w:eastAsia="Arial" w:hAnsi="Arial"/>
          <w:sz w:val="17"/>
          <w:szCs w:val="17"/>
          <w:color w:val="auto"/>
        </w:rPr>
        <w:t>no Default (other than that resulting from borrowing funds to be applied to make such deposit or any similar and simultaneous deposit relating to other Indebtedness and the granting of Liens in connection therewith) with respect to this Indenture or the Notes shall have occurred and be continuing on the date of such deposit or shall occur as a result of such deposit and such deposit will not result in a breach or violation of, or constitute a default under the Senior Credit Facilities, the Existing Secured Notes, the NXP Notes, the indentures pursuant to which the Existing Secured Notes were issued, the indentures pursuant to which the NXP Notes were issued or any other material agreement or instrument (other than this Indenture) to which the Issuer or any Guarantor is a party or by which the Issuer or any Guarantor is bound (other than resulting from any borrowing of funds to be applied to make such deposit and any similar and simultaneous deposit relating to other Indebtedness and the granting of Liens in connection therewith);</w:t>
      </w:r>
    </w:p>
    <w:p>
      <w:pPr>
        <w:spacing w:after="0" w:line="70" w:lineRule="exact"/>
        <w:rPr>
          <w:rFonts w:ascii="Arial" w:cs="Arial" w:eastAsia="Arial" w:hAnsi="Arial"/>
          <w:sz w:val="17"/>
          <w:szCs w:val="17"/>
          <w:color w:val="auto"/>
        </w:rPr>
      </w:pPr>
    </w:p>
    <w:p>
      <w:pPr>
        <w:ind w:left="1620" w:hanging="279"/>
        <w:spacing w:after="0"/>
        <w:tabs>
          <w:tab w:leader="none" w:pos="16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Issuer has paid or caused to be paid all sums payable by it under this Indenture; and</w:t>
      </w:r>
    </w:p>
    <w:p>
      <w:pPr>
        <w:spacing w:after="0" w:line="117" w:lineRule="exact"/>
        <w:rPr>
          <w:rFonts w:ascii="Arial" w:cs="Arial" w:eastAsia="Arial" w:hAnsi="Arial"/>
          <w:sz w:val="18"/>
          <w:szCs w:val="18"/>
          <w:color w:val="auto"/>
        </w:rPr>
      </w:pPr>
    </w:p>
    <w:p>
      <w:pPr>
        <w:ind w:left="920" w:right="580" w:firstLine="421"/>
        <w:spacing w:after="0" w:line="277" w:lineRule="auto"/>
        <w:tabs>
          <w:tab w:leader="none" w:pos="1635"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money toward the payment of the Notes at maturity or the Redemption Date, as the case may be.</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In addition, the Issuer must deliver an Officer’s Certificate and an Opinion of Counsel to the Trustee stating that all conditions precedent to satisfaction and discharge have been satisfied.</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Notwithstanding the satisfaction and discharge of this Indenture, if money shall have been deposited with the Trustee pursuant to subclause (A) of clause (2) of this Section 12.01, the provisions of Section 12.02 and Section 8.06 hereof shall survive.</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 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74" w:right="239" w:bottom="1440" w:gutter="0" w:footer="0" w:header="0"/>
        </w:sectPr>
      </w:pPr>
    </w:p>
    <w:bookmarkStart w:id="157" w:name="page158"/>
    <w:bookmarkEnd w:id="157"/>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Trustee or Paying Agent is unable to apply any money or Government Securities in accordance with Section 12.01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12.01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communication by the Issuer, any Guarantor or the Trustee to the others is duly given if in writing and delivered in person or mailed by first-class mail (registered or certified, return receipt requested), fax or overnight air courier guaranteeing next day delivery, to the others’ address: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Issuer and/or any Guarantor: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Freescale Semiconductor,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6501 William Cannon Drive West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Austin, Texas 78735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(512) 996-6853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NXP Semiconductors N.V.</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High Tech Campus 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5656 AG Eindhoven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Erik Thyssen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+(31) 20 5407500</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601 Travis Street, 16th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No.: 713-483-6954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Freescale Semiconductor Trustee</w:t>
      </w:r>
    </w:p>
    <w:p>
      <w:pPr>
        <w:spacing w:after="0" w:line="21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The Issuer, any Guarantor or the Trustee, by notice to the others, may designate additional or different addresses for subsequent notices or communications.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All notices and communications (other than those sent to Holders) shall be deemed to have been duly given: at the time delivered by hand, if personally delivered; five calendar days after being deposited in the mail, postage prepaid, if mailed by first-class mail; when receipt acknowledged, if faxed; and the next Business Day after timely delivery to the courier, if sent by overnight air courier guaranteeing next day delivery;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or communication delivered to the Trustee shall be deemed effective upon actual receipt thereof.</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40"/>
          </w:cols>
          <w:pgMar w:left="240" w:top="274" w:right="319" w:bottom="1440" w:gutter="0" w:footer="0" w:header="0"/>
        </w:sectPr>
      </w:pPr>
    </w:p>
    <w:bookmarkStart w:id="158" w:name="page159"/>
    <w:bookmarkEnd w:id="158"/>
    <w:p>
      <w:pPr>
        <w:jc w:val="both"/>
        <w:ind w:right="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or communication to a Holder shall be mailed by first-class mail, certified or registered, return receipt requested, or by overnight air courier guaranteeing next day delivery to its address shown on the Note Register kept by the Registrar. Failure to mail a notice or communication to a Holder or any defect in it shall not affect its sufficiency with respect to other Holders.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 notice or communication is mailed in the manner provided above within the time prescribed, it is duly given, whether or not the addressee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receives it.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Issuer mails a notice or communication to Holders, it shall mail a copy to the Trustee and each Agent at the same time.</w:t>
      </w:r>
    </w:p>
    <w:p>
      <w:pPr>
        <w:spacing w:after="0" w:line="225" w:lineRule="exact"/>
        <w:rPr>
          <w:sz w:val="20"/>
          <w:szCs w:val="20"/>
          <w:color w:val="auto"/>
        </w:rPr>
      </w:pPr>
    </w:p>
    <w:p>
      <w:pPr>
        <w:jc w:val="both"/>
        <w:ind w:right="100" w:firstLine="913"/>
        <w:spacing w:after="0" w:line="277"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Communication by Holders of Notes with Other Holders of Notes</w:t>
      </w:r>
      <w:r>
        <w:rPr>
          <w:rFonts w:ascii="Arial" w:cs="Arial" w:eastAsia="Arial" w:hAnsi="Arial"/>
          <w:sz w:val="18"/>
          <w:szCs w:val="18"/>
          <w:color w:val="auto"/>
        </w:rPr>
        <w:t>. Holders may communicate with other Holders with respect to their rights under this Indenture or the Notes.</w:t>
      </w:r>
    </w:p>
    <w:p>
      <w:pPr>
        <w:spacing w:after="0" w:line="170"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u w:val="single" w:color="auto"/>
          <w:color w:val="auto"/>
        </w:rPr>
        <w:t>Certificate and Opinion as to Conditions Precedent</w:t>
      </w:r>
      <w:r>
        <w:rPr>
          <w:rFonts w:ascii="Arial" w:cs="Arial" w:eastAsia="Arial" w:hAnsi="Arial"/>
          <w:sz w:val="17"/>
          <w:szCs w:val="17"/>
          <w:color w:val="auto"/>
        </w:rPr>
        <w:t>. Upon any request or application by the Issuer or any of the Guarantors to the Trustee to take any action under this Indenture, the Issuer or such Guarantor, as the case may be, shall furnish to the Trustee:</w:t>
      </w:r>
    </w:p>
    <w:p>
      <w:pPr>
        <w:spacing w:after="0" w:line="38" w:lineRule="exact"/>
        <w:rPr>
          <w:sz w:val="20"/>
          <w:szCs w:val="20"/>
          <w:color w:val="auto"/>
        </w:rPr>
      </w:pPr>
    </w:p>
    <w:p>
      <w:pPr>
        <w:ind w:left="920" w:right="200" w:firstLine="421"/>
        <w:spacing w:after="0" w:line="264" w:lineRule="auto"/>
        <w:tabs>
          <w:tab w:leader="none" w:pos="163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 Officer’s Certificate of the Issuer in form and substance reasonably satisfactory to the Trustee (which shall include the statements set forth in Section 13.04 hereof) stating that, in the opinion of the signers, all conditions precedent and covenants, if any, provided for in this Indenture relating to the proposed action have been satisfied; and</w:t>
      </w:r>
    </w:p>
    <w:p>
      <w:pPr>
        <w:spacing w:after="0" w:line="73" w:lineRule="exact"/>
        <w:rPr>
          <w:rFonts w:ascii="Arial" w:cs="Arial" w:eastAsia="Arial" w:hAnsi="Arial"/>
          <w:sz w:val="18"/>
          <w:szCs w:val="18"/>
          <w:color w:val="auto"/>
        </w:rPr>
      </w:pPr>
    </w:p>
    <w:p>
      <w:pPr>
        <w:ind w:left="920" w:right="360" w:firstLine="421"/>
        <w:spacing w:after="0" w:line="342" w:lineRule="auto"/>
        <w:tabs>
          <w:tab w:leader="none" w:pos="162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shall include the statements set forth in Section 13.04 hereof) stating that, in the opinion of such counsel, all such conditions precedent and covenants have been satisfied.</w:t>
      </w:r>
    </w:p>
    <w:p>
      <w:pPr>
        <w:spacing w:after="0" w:line="124"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shall include:</w:t>
      </w:r>
    </w:p>
    <w:p>
      <w:pPr>
        <w:spacing w:after="0" w:line="62" w:lineRule="exact"/>
        <w:rPr>
          <w:sz w:val="20"/>
          <w:szCs w:val="20"/>
          <w:color w:val="auto"/>
        </w:rPr>
      </w:pPr>
    </w:p>
    <w:p>
      <w:pPr>
        <w:ind w:left="1640" w:hanging="299"/>
        <w:spacing w:after="0"/>
        <w:tabs>
          <w:tab w:leader="none" w:pos="16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920" w:firstLine="421"/>
        <w:spacing w:after="0" w:line="277" w:lineRule="auto"/>
        <w:tabs>
          <w:tab w:leader="none" w:pos="162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920" w:right="100" w:firstLine="421"/>
        <w:spacing w:after="0" w:line="264" w:lineRule="auto"/>
        <w:tabs>
          <w:tab w:leader="none" w:pos="162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74" w:right="239" w:bottom="1440" w:gutter="0" w:footer="0" w:header="0"/>
        </w:sectPr>
      </w:pPr>
    </w:p>
    <w:bookmarkStart w:id="159" w:name="page160"/>
    <w:bookmarkEnd w:id="159"/>
    <w:p>
      <w:pPr>
        <w:ind w:right="1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13.05.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 The Trustee may make reasonable rules for action by or at a meeting of Holders. The Registrar, Paying Agent or Calculation Agent may make reasonable rules and set reasonable requirements for its functions.</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13.06. </w:t>
      </w:r>
      <w:r>
        <w:rPr>
          <w:rFonts w:ascii="Arial" w:cs="Arial" w:eastAsia="Arial" w:hAnsi="Arial"/>
          <w:sz w:val="16"/>
          <w:szCs w:val="16"/>
          <w:u w:val="single" w:color="auto"/>
          <w:color w:val="auto"/>
        </w:rPr>
        <w:t>No Personal Liability of Directors, Officers, Employees and Stockholders</w:t>
      </w:r>
      <w:r>
        <w:rPr>
          <w:rFonts w:ascii="Arial" w:cs="Arial" w:eastAsia="Arial" w:hAnsi="Arial"/>
          <w:sz w:val="16"/>
          <w:szCs w:val="16"/>
          <w:color w:val="auto"/>
        </w:rPr>
        <w:t>. No director, officer, employee, incorporator or stockholder of the Company, the Issuer or any other Guarantor (other than in the case of stockholders of the Issuer, any Parent Guarantor or any Subsidiary Guarantor, any Parent Guarantor, the Issuer or another Subsidiary Guarantor) or any of their parent companies shall have any liability for any obligations of the Issuer or the Guarantors under the Notes, the Guarantees or this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58"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INDENTURE, THE NOTES, ANY GUARANTEE AND THE COLLATERAL DOCUMENTS RELATING TO THE NOTES WILL BE GOVERNED BY AND CONSTRUED IN ACCORDANCE WITH THE LAWS OF THE STATE OF NEW YORK.</w:t>
      </w:r>
    </w:p>
    <w:p>
      <w:pPr>
        <w:spacing w:after="0" w:line="147" w:lineRule="exact"/>
        <w:rPr>
          <w:sz w:val="20"/>
          <w:szCs w:val="20"/>
          <w:color w:val="auto"/>
        </w:rPr>
      </w:pPr>
    </w:p>
    <w:p>
      <w:pPr>
        <w:ind w:right="360" w:firstLine="913"/>
        <w:spacing w:after="0" w:line="286" w:lineRule="auto"/>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ISSUER, THE GUARANTORS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66" w:lineRule="exact"/>
        <w:rPr>
          <w:sz w:val="20"/>
          <w:szCs w:val="20"/>
          <w:color w:val="auto"/>
        </w:rPr>
      </w:pPr>
    </w:p>
    <w:p>
      <w:pPr>
        <w:ind w:right="260" w:firstLine="913"/>
        <w:spacing w:after="0" w:line="302" w:lineRule="auto"/>
        <w:rPr>
          <w:sz w:val="20"/>
          <w:szCs w:val="20"/>
          <w:color w:val="auto"/>
        </w:rPr>
      </w:pPr>
      <w:r>
        <w:rPr>
          <w:rFonts w:ascii="Arial" w:cs="Arial" w:eastAsia="Arial" w:hAnsi="Arial"/>
          <w:sz w:val="16"/>
          <w:szCs w:val="16"/>
          <w:color w:val="auto"/>
        </w:rPr>
        <w:t xml:space="preserve">SECTION 13.09. </w:t>
      </w:r>
      <w:r>
        <w:rPr>
          <w:rFonts w:ascii="Arial" w:cs="Arial" w:eastAsia="Arial" w:hAnsi="Arial"/>
          <w:sz w:val="16"/>
          <w:szCs w:val="16"/>
          <w:u w:val="single" w:color="auto"/>
          <w:color w:val="auto"/>
        </w:rPr>
        <w:t>Force Majeure</w:t>
      </w:r>
      <w:r>
        <w:rPr>
          <w:rFonts w:ascii="Arial" w:cs="Arial" w:eastAsia="Arial" w:hAnsi="Arial"/>
          <w:sz w:val="16"/>
          <w:szCs w:val="16"/>
          <w:color w:val="auto"/>
        </w:rPr>
        <w:t>. 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or acts of God, interruptions, loss or malfunctions of utilities, communications or computer (software or hardware) services or the availability of the Federal Reserve Bank.</w:t>
      </w:r>
    </w:p>
    <w:p>
      <w:pPr>
        <w:spacing w:after="0" w:line="154"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 This Indenture may not be used to interpret any other indenture, loan or debt agreement of the Issuer or its Restricted Subsidiaries or of any other Person. Any such indenture, loan or debt agreement may not be used to interpret this Indenture.</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Issuer in this Indenture and the Notes shall bind its successors. All agreements of the Trustee in this Indenture shall bind its successors. All agreements of each Guarantor in this Indenture shall bind its successors, except as otherwise provided in Section 10.05 hereof.</w:t>
      </w:r>
    </w:p>
    <w:p>
      <w:pPr>
        <w:spacing w:after="0" w:line="18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Counterpart Originals</w:t>
      </w:r>
      <w:r>
        <w:rPr>
          <w:rFonts w:ascii="Arial" w:cs="Arial" w:eastAsia="Arial" w:hAnsi="Arial"/>
          <w:sz w:val="18"/>
          <w:szCs w:val="18"/>
          <w:color w:val="auto"/>
        </w:rPr>
        <w:t>. The parties may sign any number of copies of this Indenture. Each signed copy shall be an original, but all of them together represent the same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74" w:right="239" w:bottom="1440" w:gutter="0" w:footer="0" w:header="0"/>
        </w:sectPr>
      </w:pPr>
    </w:p>
    <w:bookmarkStart w:id="160" w:name="page161"/>
    <w:bookmarkEnd w:id="160"/>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 xml:space="preserve"> 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u w:val="single" w:color="auto"/>
          <w:color w:val="auto"/>
        </w:rPr>
        <w:t>Currency of Account; Conversion of Currency; Foreign Exchange Restrictions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7" w:lineRule="auto"/>
        <w:tabs>
          <w:tab w:leader="none" w:pos="1158" w:val="left"/>
        </w:tabs>
        <w:numPr>
          <w:ilvl w:val="2"/>
          <w:numId w:val="256"/>
        </w:numPr>
        <w:rPr>
          <w:rFonts w:ascii="Arial" w:cs="Arial" w:eastAsia="Arial" w:hAnsi="Arial"/>
          <w:sz w:val="16"/>
          <w:szCs w:val="16"/>
          <w:color w:val="auto"/>
        </w:rPr>
      </w:pPr>
      <w:r>
        <w:rPr>
          <w:rFonts w:ascii="Arial" w:cs="Arial" w:eastAsia="Arial" w:hAnsi="Arial"/>
          <w:sz w:val="16"/>
          <w:szCs w:val="16"/>
          <w:color w:val="auto"/>
        </w:rPr>
        <w:t>U.S. dollars are the sole currency of account and payment for all sums payable by the Issuer and the Guarantors under or in connection with the Notes, the Guarantees of the Notes or this Indenture, including damages related thereto or hereto. Any amount received or recovered in a currency other than U.S. dollars by a Holder of Notes (whether as a result of, or of the enforcement of, a judgment or order of a court of any jurisdiction, in the winding-up or dissolution of the Issuer or otherwise) in respect of any sum expressed to be due to it from the Issuer shall only constitute a discharge to the Issuer to the extent of the U.S. dollar amount, which the recipient is able to purchase with the amount so received or recovered in that other currency on the date of that receipt or recovery (or, if it is not practicable to make that purchase on that date, on the first date on which it is practicable to do so). If that U.S. dollar amount is less than the U.S. dollar amount expressed to be due to the recipient under the applicable Notes, the Issuer shall indemnify it against any loss sustained by it as a result as set forth in Section 13.15(b). In any event, the Issuer and the Guarantors shall indemnify the recipient against the cost of making any such purchase. For the purposes of this Section 13.15, it will be sufficient for the Holder of a Note to certify in a satisfactory manner (indicating sources of information used) that it would have suffered a loss had an actual purchase of U.S. dollars been made with the amount so received in that other currency on the date of receipt or recovery (or, if a purchase of U.S. dollars on such date had not been practicable, on the first date on which it would have been practicable, it being required that the need for a change of date be certified in the manner mentioned above).</w:t>
      </w:r>
    </w:p>
    <w:p>
      <w:pPr>
        <w:spacing w:after="0" w:line="60" w:lineRule="exact"/>
        <w:rPr>
          <w:rFonts w:ascii="Arial" w:cs="Arial" w:eastAsia="Arial" w:hAnsi="Arial"/>
          <w:sz w:val="16"/>
          <w:szCs w:val="16"/>
          <w:color w:val="auto"/>
        </w:rPr>
      </w:pPr>
    </w:p>
    <w:p>
      <w:pPr>
        <w:ind w:firstLine="921"/>
        <w:spacing w:after="0" w:line="277" w:lineRule="auto"/>
        <w:tabs>
          <w:tab w:leader="none" w:pos="1168" w:val="left"/>
        </w:tabs>
        <w:numPr>
          <w:ilvl w:val="2"/>
          <w:numId w:val="256"/>
        </w:numPr>
        <w:rPr>
          <w:rFonts w:ascii="Arial" w:cs="Arial" w:eastAsia="Arial" w:hAnsi="Arial"/>
          <w:sz w:val="18"/>
          <w:szCs w:val="18"/>
          <w:color w:val="auto"/>
        </w:rPr>
      </w:pPr>
      <w:r>
        <w:rPr>
          <w:rFonts w:ascii="Arial" w:cs="Arial" w:eastAsia="Arial" w:hAnsi="Arial"/>
          <w:sz w:val="18"/>
          <w:szCs w:val="18"/>
          <w:color w:val="auto"/>
        </w:rPr>
        <w:t>The Issuer and the Guarantors, jointly and severally, covenant and agree that the following provisions shall apply to conversion of currency in the case of the Notes, the Guarantees and this Indenture:</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24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 If for the purpose of obtaining judgment in, or enforcing the judgment of, any court in any country, it becomes necessary to convert into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an amount due in any other currency (the “</w:t>
      </w:r>
      <w:r>
        <w:rPr>
          <w:rFonts w:ascii="Arial" w:cs="Arial" w:eastAsia="Arial" w:hAnsi="Arial"/>
          <w:sz w:val="18"/>
          <w:szCs w:val="18"/>
          <w:u w:val="single" w:color="auto"/>
          <w:color w:val="auto"/>
        </w:rPr>
        <w:t>Base Currency</w:t>
      </w:r>
      <w:r>
        <w:rPr>
          <w:rFonts w:ascii="Arial" w:cs="Arial" w:eastAsia="Arial" w:hAnsi="Arial"/>
          <w:sz w:val="18"/>
          <w:szCs w:val="18"/>
          <w:color w:val="auto"/>
        </w:rPr>
        <w:t>”), then the conversion shall be made at the rate of exchange prevailing on the Business Day before the day on which the judgment is given or the order of enforcement is made, as the case may be (unless a court shall otherwise determine).</w:t>
      </w:r>
    </w:p>
    <w:p>
      <w:pPr>
        <w:spacing w:after="0" w:line="78" w:lineRule="exact"/>
        <w:rPr>
          <w:rFonts w:ascii="Arial" w:cs="Arial" w:eastAsia="Arial" w:hAnsi="Arial"/>
          <w:sz w:val="18"/>
          <w:szCs w:val="18"/>
          <w:color w:val="auto"/>
        </w:rPr>
      </w:pPr>
    </w:p>
    <w:p>
      <w:pPr>
        <w:ind w:left="460" w:right="220" w:firstLine="881"/>
        <w:spacing w:after="0" w:line="257" w:lineRule="auto"/>
        <w:tabs>
          <w:tab w:leader="none" w:pos="1621" w:val="left"/>
        </w:tabs>
        <w:numPr>
          <w:ilvl w:val="3"/>
          <w:numId w:val="257"/>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Business Day before the day on which the judgment is given or an order of enforcement is made, as the case may be (or such other date as a court shall determine), and the date of receipt of the amount due, the Issuer and the Guarantors will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80" w:lineRule="exact"/>
        <w:rPr>
          <w:rFonts w:ascii="Arial" w:cs="Arial" w:eastAsia="Arial" w:hAnsi="Arial"/>
          <w:sz w:val="18"/>
          <w:szCs w:val="18"/>
          <w:color w:val="auto"/>
        </w:rPr>
      </w:pPr>
    </w:p>
    <w:p>
      <w:pPr>
        <w:ind w:left="460" w:right="240" w:firstLine="443"/>
        <w:spacing w:after="0" w:line="288" w:lineRule="auto"/>
        <w:tabs>
          <w:tab w:leader="none" w:pos="1153" w:val="left"/>
        </w:tabs>
        <w:numPr>
          <w:ilvl w:val="1"/>
          <w:numId w:val="257"/>
        </w:numPr>
        <w:rPr>
          <w:rFonts w:ascii="Arial" w:cs="Arial" w:eastAsia="Arial" w:hAnsi="Arial"/>
          <w:sz w:val="16"/>
          <w:szCs w:val="16"/>
          <w:color w:val="auto"/>
        </w:rPr>
      </w:pPr>
      <w:r>
        <w:rPr>
          <w:rFonts w:ascii="Arial" w:cs="Arial" w:eastAsia="Arial" w:hAnsi="Arial"/>
          <w:sz w:val="16"/>
          <w:szCs w:val="16"/>
          <w:color w:val="auto"/>
        </w:rPr>
        <w:t>In the event of the winding-up of the Issuer or any Guarantor at any time while any amount or damages owing under the Notes, the Guarantees and this Indenture, or any judgment or order rendered in respect thereof, shall remain outstanding, the Issuer and the Guarantors shall indemnify and hold the Holders and the Trustee harmless against any deficiency arising or resulting from any variation in rates of exchange between</w:t>
      </w:r>
    </w:p>
    <w:p>
      <w:pPr>
        <w:ind w:left="680" w:hanging="216"/>
        <w:spacing w:after="0"/>
        <w:tabs>
          <w:tab w:leader="none" w:pos="6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date as of which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274" w:right="259" w:bottom="1440" w:gutter="0" w:footer="0" w:header="0"/>
        </w:sectPr>
      </w:pPr>
    </w:p>
    <w:bookmarkStart w:id="161" w:name="page162"/>
    <w:bookmarkEnd w:id="161"/>
    <w:p>
      <w:pPr>
        <w:ind w:left="460"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Currency Equivalent of the amount due or contingently due under the Notes, the Guarantees and this Indenture (other than under this subsection (b)(2)) is calculated for the purposes of such winding-up and (ii) the final date for the filing of proofs of claim in such winding-up. For the purpose of this subsection (b)(2), the final date for the filing of proofs of claim in the winding-up of the Issuer or any Guarantor shall be the date fixed by the liquidator or otherwise in accordance with the relevant provisions of applicable law as being the latest practicable date as at which liabilities of the Issuer or such Guarantor may be ascertained for such winding-up prior to payment by the liquidator or otherwise in respect thereto.</w:t>
      </w:r>
    </w:p>
    <w:p>
      <w:pPr>
        <w:spacing w:after="0" w:line="50" w:lineRule="exact"/>
        <w:rPr>
          <w:sz w:val="20"/>
          <w:szCs w:val="20"/>
          <w:color w:val="auto"/>
        </w:rPr>
      </w:pPr>
    </w:p>
    <w:p>
      <w:pPr>
        <w:ind w:right="80" w:firstLine="921"/>
        <w:spacing w:after="0" w:line="290" w:lineRule="auto"/>
        <w:tabs>
          <w:tab w:leader="none" w:pos="115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obligations contained in this Section 13.15 shall constitute separate and independent obligations from the other obligations of the Issuer and the Guarantors under this Indenture, shall give rise to separate and independent causes of action against the Issuer and the Guarantors, shall apply irrespective of any waiver or extension granted by any Holder or the Trustee or either of them from time to time and shall continue in full force and effect notwithstanding any judgment or order or the filing of any proof of claim in the winding-up of the Issuer or any Guarantor for a liquidated sum in respect of amounts due hereunder (other than under subsection (b)(2) above) or under any such judgment or order. Any such deficiency as aforesaid shall be deemed to constitute a loss suffered by the Holders or the Trustee, as the case may be, and no proof or evidence of any actual loss shall be required by the Issuer or any Guarantor or the liquidator or otherwise or any of them. In the case of subsection (b)(2) above, the amount of such deficiency shall not be deemed to be reduced by any variation in rates of exchange occurring between the said final date and the date of any liquidating distribution.</w:t>
      </w:r>
    </w:p>
    <w:p>
      <w:pPr>
        <w:spacing w:after="0" w:line="58" w:lineRule="exact"/>
        <w:rPr>
          <w:rFonts w:ascii="Arial" w:cs="Arial" w:eastAsia="Arial" w:hAnsi="Arial"/>
          <w:sz w:val="16"/>
          <w:szCs w:val="16"/>
          <w:color w:val="auto"/>
        </w:rPr>
      </w:pPr>
    </w:p>
    <w:p>
      <w:pPr>
        <w:jc w:val="both"/>
        <w:ind w:right="180" w:firstLine="921"/>
        <w:spacing w:after="0" w:line="264" w:lineRule="auto"/>
        <w:tabs>
          <w:tab w:leader="none" w:pos="116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term “rate(s) of exchange” shall mean the rate of exchange quoted by Reuters at 10:00 a.m. (New York time) for spot purchases of the Base Currency with the Judgment Currency other than the Base Currency referred to in subsections (b)(1) and (b)(2) above and includes any premiums and costs of exchange payable.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13.16. </w:t>
      </w:r>
      <w:r>
        <w:rPr>
          <w:rFonts w:ascii="Arial" w:cs="Arial" w:eastAsia="Arial" w:hAnsi="Arial"/>
          <w:sz w:val="18"/>
          <w:szCs w:val="18"/>
          <w:u w:val="single" w:color="auto"/>
          <w:color w:val="auto"/>
        </w:rPr>
        <w:t>Consent to Jurisdiction and Service</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Each of the Company, Holdings I, Holdings II, Holdings III and Holdings IV and any Subsidiary Guarantor that is a Foreign Subsidiary shall appoint Corporation Service Company as its agent for actions relating to the Notes, this Indenture or the Collateral Documents relating to the Notes or brought under U.S. Federal or state securities laws brought in any U.S. Federal or state court located in the Borough of Manhattan in The City of New York.</w:t>
      </w:r>
    </w:p>
    <w:p>
      <w:pPr>
        <w:spacing w:after="0" w:line="14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Each of Issuer, the Company, Holdings I, Holdings II, Holdings III and Holdings IV and any Subsidiary Guarantor that is a Foreign Subsidiary and the Trustee irrevocably submit to the personal jurisdiction of any New York state or United States federal court located in the Borough of Manhattan in the City of New York in any action arising out of or relating to this Indenture, the Notes or any of the other Collateral Documents relating to the Notes to which each is or is to be a party, or for recognition or enforcement of any judgment, and Issuer, the Company, Holdings I, Holdings II, Holdings III and Holdings IV and any Subsidiary Guarantor that is a Foreign Subsidiary and the Trustee hereby irrevocably and unconditionally agree that all claims in respect of such action or proceeding may be heard and determined in any such court of the State of New York or, to the extent permitted by law, in such Federal court. Issuer, the Company, Holdings I, Holdings II, Holdings III and Holdings IV and any Subsidiary Guarantor that is a Foreign Subsidiary and the Trustee irrevocably waive, to the fullest extent permitted by law, any objection which it may now or hereafter have to the laying of venue of any suit, action or proceeding arising out of or relating to this Indenture in such courts. Nothing in this Indenture, the Notes or any other Collateral Document shall affect any right that any party may otherwise have to bring any action or proceeding relating to this Indenture, the Notes or any other Collateral Document in the courts of any jurisdiction.</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274" w:right="279" w:bottom="1440" w:gutter="0" w:footer="0" w:header="0"/>
        </w:sectPr>
      </w:pPr>
    </w:p>
    <w:bookmarkStart w:id="162" w:name="page163"/>
    <w:bookmarkEnd w:id="162"/>
    <w:p>
      <w:pPr>
        <w:ind w:right="4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13.17.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In respect of this Indenture, the Trustee shall not have any duty or obligation to verify or confirm that the Person sending instructions, directions, reports, notices or other communications or information by electronic transmission (including by e-mail, pdf, facsimile transmission or other similar secured or unsecured electronic methods)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such electronic methods to submit instructions, directions, reports, notices or other communications or information to the Trustee, including without limitation the risk of the Trustee acting on unauthorized instructions, notices, reports or other communications or information, and the risk of interception and misuse by third parties.</w:t>
      </w:r>
    </w:p>
    <w:p>
      <w:pPr>
        <w:spacing w:after="0" w:line="16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13.18. </w:t>
      </w:r>
      <w:r>
        <w:rPr>
          <w:rFonts w:ascii="Arial" w:cs="Arial" w:eastAsia="Arial" w:hAnsi="Arial"/>
          <w:sz w:val="18"/>
          <w:szCs w:val="18"/>
          <w:u w:val="single" w:color="auto"/>
          <w:color w:val="auto"/>
        </w:rPr>
        <w:t>Patriot Act</w:t>
      </w:r>
      <w:r>
        <w:rPr>
          <w:rFonts w:ascii="Arial" w:cs="Arial" w:eastAsia="Arial" w:hAnsi="Arial"/>
          <w:sz w:val="18"/>
          <w:szCs w:val="18"/>
          <w:color w:val="auto"/>
        </w:rPr>
        <w:t>. In order to comply with laws, rules, regulations and executive orders in effect from time to time applicable to banking institutions, including those relating to the funding of terrorist activities and money laundering (“</w:t>
      </w:r>
      <w:r>
        <w:rPr>
          <w:rFonts w:ascii="Arial" w:cs="Arial" w:eastAsia="Arial" w:hAnsi="Arial"/>
          <w:sz w:val="18"/>
          <w:szCs w:val="18"/>
          <w:u w:val="single" w:color="auto"/>
          <w:color w:val="auto"/>
        </w:rPr>
        <w:t>Specified Law</w:t>
      </w:r>
      <w:r>
        <w:rPr>
          <w:rFonts w:ascii="Arial" w:cs="Arial" w:eastAsia="Arial" w:hAnsi="Arial"/>
          <w:sz w:val="18"/>
          <w:szCs w:val="18"/>
          <w:color w:val="auto"/>
        </w:rPr>
        <w:t>”), The Bank of New York Mellon Trust Company, N.A. is required to obtain, verify and record certain information relating to individuals and entities which maintain a business relationship with The Bank of New York Mellon Trust Company, N.A.. Accordingly, the Issuer agrees to provide to The Bank of New York Mellon Trust Company, N.A. upon its request from time to time such identifying information and documentation as may be available to the Issuer in order to enable The Bank of New York Mellon Trust Company, N.A. to comply with Specified Law.</w:t>
      </w:r>
    </w:p>
    <w:p>
      <w:pPr>
        <w:spacing w:after="0" w:line="193" w:lineRule="exact"/>
        <w:rPr>
          <w:sz w:val="20"/>
          <w:szCs w:val="20"/>
          <w:color w:val="auto"/>
        </w:rPr>
      </w:pPr>
    </w:p>
    <w:p>
      <w:pPr>
        <w:ind w:right="180" w:firstLine="913"/>
        <w:spacing w:after="0" w:line="288" w:lineRule="auto"/>
        <w:rPr>
          <w:sz w:val="20"/>
          <w:szCs w:val="20"/>
          <w:color w:val="auto"/>
        </w:rPr>
      </w:pPr>
      <w:r>
        <w:rPr>
          <w:rFonts w:ascii="Arial" w:cs="Arial" w:eastAsia="Arial" w:hAnsi="Arial"/>
          <w:sz w:val="16"/>
          <w:szCs w:val="16"/>
          <w:color w:val="auto"/>
        </w:rPr>
        <w:t xml:space="preserve">SECTION 13.19.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Subject to the Agreed Security Principles, the Issuer and its Restricted Subsidiaries hereby covenant and agree that as of the Merger Date and thereafter, promptly upon request by the Trustee or the Collateral Agent, as the case may be, it will (a) correct any material defect or error that may be discovered in any First Lien Debt Documents or in the execution, acknowledgment, filing or recordation thereof, and</w:t>
      </w:r>
    </w:p>
    <w:p>
      <w:pPr>
        <w:ind w:right="260" w:firstLine="8"/>
        <w:spacing w:after="0" w:line="255" w:lineRule="auto"/>
        <w:tabs>
          <w:tab w:leader="none" w:pos="2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do, execute, acknowledge, deliver, record, re-record, file, re-file, register and reregister any and all such further acts, deeds, certificates, assurances and other instruments as the Trustee, may reasonably require from time to time in order to carry out more effectively the purposes of any First Lien Debt Documents.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274" w:right="259" w:bottom="1440" w:gutter="0" w:footer="0" w:header="0"/>
        </w:sectPr>
      </w:pPr>
    </w:p>
    <w:bookmarkStart w:id="163" w:name="page164"/>
    <w:bookmarkEnd w:id="16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FREESCALE SEMICONDUCTOR, INC., as Issuer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Authorized Attorney</w:t>
      </w:r>
    </w:p>
    <w:p>
      <w:pPr>
        <w:spacing w:after="0" w:line="14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[Signature Page – Amended and Restated Indenture - 5% Senior Secured Notes due 2021]</w:t>
      </w:r>
    </w:p>
    <w:p>
      <w:pPr>
        <w:sectPr>
          <w:pgSz w:w="11900" w:h="16838" w:orient="portrait"/>
          <w:cols w:equalWidth="0" w:num="1">
            <w:col w:w="9420"/>
          </w:cols>
          <w:pgMar w:left="1440" w:top="274" w:right="1039" w:bottom="1440" w:gutter="0" w:footer="0" w:header="0"/>
        </w:sectPr>
      </w:pPr>
    </w:p>
    <w:bookmarkStart w:id="164" w:name="page165"/>
    <w:bookmarkEnd w:id="16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FREESCALE SEMICONDUCTOR, LTD.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FREESCALE SEMICONDUCTOR HOLDINGS II, LTD.</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FREESCALE SEMICONDUCTOR HOLDINGS III, LTD.</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FREESCALE SEMICONDUCTOR HOLDINGS IV, LTD.</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FREESCALE SEMICONDUCTOR HOLDINGS V,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SIGMATEL,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14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[Signature Page – Amended and Restated Indenture - 5% Senior Secured Notes due 2021]</w:t>
      </w:r>
    </w:p>
    <w:p>
      <w:pPr>
        <w:sectPr>
          <w:pgSz w:w="11900" w:h="16838" w:orient="portrait"/>
          <w:cols w:equalWidth="0" w:num="1">
            <w:col w:w="9920"/>
          </w:cols>
          <w:pgMar w:left="1440" w:top="274" w:right="539" w:bottom="1440" w:gutter="0" w:footer="0" w:header="0"/>
        </w:sectPr>
      </w:pPr>
    </w:p>
    <w:bookmarkStart w:id="165" w:name="page166"/>
    <w:bookmarkEnd w:id="16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NXP B.V.</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FUNDING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NXP SEMICONDUCTORS NETHERLANDS B.V.</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SEMICONDUCTORS USA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SEMICONDUCTORS UK LIMITED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SEMICONDUCTORS GERMANY GMBH</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35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[Signature Page – Amended and Restated Indenture - 5% Senior Secured Notes due 2021]</w:t>
      </w:r>
    </w:p>
    <w:p>
      <w:pPr>
        <w:sectPr>
          <w:pgSz w:w="11900" w:h="16838" w:orient="portrait"/>
          <w:cols w:equalWidth="0" w:num="1">
            <w:col w:w="9420"/>
          </w:cols>
          <w:pgMar w:left="1440" w:top="274" w:right="1039" w:bottom="1440" w:gutter="0" w:footer="0" w:header="0"/>
        </w:sectPr>
      </w:pPr>
    </w:p>
    <w:bookmarkStart w:id="166" w:name="page167"/>
    <w:bookmarkEnd w:id="16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NXP SEMICONDUCTORS HONG KONG LIMITED</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SEMICONDUCTORS PHILIPPINES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NXP SEMICONDUCTORS SINGAPORE PTE. LTD.</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SEMICONDUCTORS TAIWAN LTD.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MANUFACTURING (THAILAND) LTD.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Attorney</w:t>
      </w:r>
    </w:p>
    <w:p>
      <w:pPr>
        <w:spacing w:after="0" w:line="14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[Signature Page – Amended and Restated Indenture - 5% Senior Secured Notes due 2021]</w:t>
      </w:r>
    </w:p>
    <w:p>
      <w:pPr>
        <w:sectPr>
          <w:pgSz w:w="11900" w:h="16838" w:orient="portrait"/>
          <w:cols w:equalWidth="0" w:num="1">
            <w:col w:w="9620"/>
          </w:cols>
          <w:pgMar w:left="1440" w:top="274" w:right="839" w:bottom="1440" w:gutter="0" w:footer="0" w:header="0"/>
        </w:sectPr>
      </w:pPr>
    </w:p>
    <w:bookmarkStart w:id="167" w:name="page168"/>
    <w:bookmarkEnd w:id="16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TRUST COMPANY,</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 as Trustee,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Lawrence M. Kusch</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[Signature Page – Amended and Restated Indenture - 5% Senior Secured Notes due 2021]</w:t>
      </w:r>
    </w:p>
    <w:p>
      <w:pPr>
        <w:sectPr>
          <w:pgSz w:w="11900" w:h="16838" w:orient="portrait"/>
          <w:cols w:equalWidth="0" w:num="1">
            <w:col w:w="10200"/>
          </w:cols>
          <w:pgMar w:left="1440" w:top="274" w:right="25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the Private Placement Legend, if applicable pursuant to the provisions of the Indenture]</w:t>
      </w:r>
    </w:p>
    <w:p>
      <w:pPr>
        <w:spacing w:after="0" w:line="225" w:lineRule="exact"/>
        <w:rPr>
          <w:sz w:val="20"/>
          <w:szCs w:val="20"/>
          <w:color w:val="auto"/>
        </w:rPr>
      </w:pPr>
    </w:p>
    <w:p>
      <w:pPr>
        <w:ind w:left="4660" w:right="2280" w:hanging="4652"/>
        <w:spacing w:after="0" w:line="449" w:lineRule="auto"/>
        <w:rPr>
          <w:sz w:val="20"/>
          <w:szCs w:val="20"/>
          <w:color w:val="auto"/>
        </w:rPr>
      </w:pPr>
      <w:r>
        <w:rPr>
          <w:rFonts w:ascii="Arial" w:cs="Arial" w:eastAsia="Arial" w:hAnsi="Arial"/>
          <w:sz w:val="18"/>
          <w:szCs w:val="18"/>
          <w:color w:val="auto"/>
        </w:rPr>
        <w:t>[Insert the Regulation S Temporary Global Note Legend, if applicable pursuant to the provisions of the Indenture] A-1</w:t>
      </w:r>
    </w:p>
    <w:p>
      <w:pPr>
        <w:sectPr>
          <w:pgSz w:w="11900" w:h="16838" w:orient="portrait"/>
          <w:cols w:equalWidth="0" w:num="1">
            <w:col w:w="10500"/>
          </w:cols>
          <w:pgMar w:left="1160" w:top="274" w:right="239" w:bottom="1440" w:gutter="0" w:footer="0" w:header="0"/>
        </w:sectPr>
      </w:pPr>
    </w:p>
    <w:bookmarkStart w:id="169" w:name="page170"/>
    <w:bookmarkEnd w:id="169"/>
    <w:p>
      <w:pPr>
        <w:ind w:left="10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CUSIP [</w:t>
      </w:r>
    </w:p>
    <w:p>
      <w:pPr>
        <w:spacing w:after="0" w:line="23"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ISIN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1000" w:space="360"/>
            <w:col w:w="60"/>
          </w:cols>
          <w:pgMar w:left="240" w:top="274"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[RULE 144A][REGULATION S] GLOBAL NOTE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 Senior Secured Note due 2021</w:t>
      </w:r>
    </w:p>
    <w:p>
      <w:pPr>
        <w:sectPr>
          <w:pgSz w:w="11900" w:h="16838" w:orient="portrait"/>
          <w:cols w:equalWidth="0" w:num="1">
            <w:col w:w="11420"/>
          </w:cols>
          <w:pgMar w:left="240" w:top="274" w:right="23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9780" w:space="720"/>
            <w:col w:w="140" w:space="720"/>
            <w:col w:w="60"/>
          </w:cols>
          <w:pgMar w:left="240" w:top="274" w:right="239" w:bottom="144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FREESCALE SEMICONDUCTOR, INC.</w:t>
      </w:r>
    </w:p>
    <w:p>
      <w:pPr>
        <w:sectPr>
          <w:pgSz w:w="11900" w:h="16838" w:orient="portrait"/>
          <w:cols w:equalWidth="0" w:num="1">
            <w:col w:w="11420"/>
          </w:cols>
          <w:pgMar w:left="240" w:top="274" w:right="239" w:bottom="1440" w:gutter="0" w:footer="0" w:header="0"/>
          <w:type w:val="continuous"/>
        </w:sectPr>
      </w:pP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promises to pay to [of</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40" w:firstLine="890"/>
        <w:spacing w:after="0" w:line="277" w:lineRule="auto"/>
        <w:rPr>
          <w:sz w:val="20"/>
          <w:szCs w:val="20"/>
          <w:color w:val="auto"/>
        </w:rPr>
      </w:pPr>
      <w:r>
        <w:rPr>
          <w:rFonts w:ascii="Arial" w:cs="Arial" w:eastAsia="Arial" w:hAnsi="Arial"/>
          <w:sz w:val="18"/>
          <w:szCs w:val="18"/>
          <w:color w:val="auto"/>
        </w:rPr>
        <w:t>or registered assigns, the principal sum [set forth on the Schedule of Exchanges of Interests in the Global Note attached hereto] United States Dollars] on May 15, 2021.</w:t>
      </w:r>
    </w:p>
    <w:p>
      <w:pPr>
        <w:spacing w:after="0" w:line="170" w:lineRule="exact"/>
        <w:rPr>
          <w:sz w:val="20"/>
          <w:szCs w:val="20"/>
          <w:color w:val="auto"/>
        </w:rPr>
      </w:pPr>
    </w:p>
    <w:p>
      <w:pPr>
        <w:sectPr>
          <w:pgSz w:w="11900" w:h="16838" w:orient="portrait"/>
          <w:cols w:equalWidth="0" w:num="2">
            <w:col w:w="1340" w:space="0"/>
            <w:col w:w="10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 May 15 and November 15, commencing November 15,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May 1 and November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type w:val="continuous"/>
        </w:sectPr>
      </w:pPr>
    </w:p>
    <w:bookmarkStart w:id="170" w:name="page171"/>
    <w:bookmarkEnd w:id="17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HEREOF, the Issuer has caused this instrument to be duly executed.</w:t>
      </w:r>
    </w:p>
    <w:p>
      <w:pPr>
        <w:spacing w:after="0" w:line="225"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FREESCALE SEMICONDUCTOR,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19"/>
          </w:cols>
          <w:pgMar w:left="240" w:top="274" w:right="1440"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referred to in the within-mentioned Indenture: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THE BANK OF NEW YORK MELLON TRUST COMPANY,</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3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40"/>
          </w:cols>
          <w:pgMar w:left="700" w:top="274" w:right="259" w:bottom="1440" w:gutter="0" w:footer="0" w:header="0"/>
        </w:sectPr>
      </w:pPr>
    </w:p>
    <w:bookmarkStart w:id="172" w:name="page173"/>
    <w:bookmarkEnd w:id="172"/>
    <w:p>
      <w:pPr>
        <w:jc w:val="center"/>
        <w:ind w:right="-5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[Back of Note]</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5.000% Senior Secured Note due 2021</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ind w:left="-8" w:firstLine="921"/>
        <w:spacing w:after="0" w:line="270" w:lineRule="auto"/>
        <w:tabs>
          <w:tab w:leader="none" w:pos="1085" w:val="left"/>
        </w:tabs>
        <w:numPr>
          <w:ilvl w:val="1"/>
          <w:numId w:val="261"/>
        </w:numPr>
        <w:rPr>
          <w:rFonts w:ascii="Arial" w:cs="Arial" w:eastAsia="Arial" w:hAnsi="Arial"/>
          <w:sz w:val="17"/>
          <w:szCs w:val="17"/>
          <w:color w:val="auto"/>
        </w:rPr>
      </w:pPr>
      <w:r>
        <w:rPr>
          <w:rFonts w:ascii="Arial" w:cs="Arial" w:eastAsia="Arial" w:hAnsi="Arial"/>
          <w:sz w:val="17"/>
          <w:szCs w:val="17"/>
          <w:color w:val="auto"/>
        </w:rPr>
        <w:t>INTEREST. Freescale Semiconductor,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promises to pay interest on the principal amount of this Note at a rate per annum of 5.000% from May 21, 2013 until maturity. The Issuer will pay interest on this Note semi-annually in arrears on May 15 and November 15 of each year commencing on November 15, 2013, or if any such day is not a Business Day, on the next succeeding Business Day (each, an “</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The Issuer will make each interest payment to the Holder of record of this Note on the immediately preceding May 1 and November 1 (each, a “Record Date”). Interest on this Note will accrue from the most recent date to which interest has been paid or, if no interest has been paid, from and including May 21, 2013. The Issuer will pay interest (including post-petition interest in any proceeding under any Bankruptcy Law) on overdue principal and premium, if any, from time to time on demand at the rate borne by this Note; it shall pay interest (including post-petition interest in any proceeding under any Bankruptcy Law) on overdue installments of interest (without regard to any applicable grace periods) from time to time on demand at the rate borne by this Note. Interest will be computed on the basis of a 360-day year comprised of twelve 30-day months.</w:t>
      </w:r>
    </w:p>
    <w:p>
      <w:pPr>
        <w:spacing w:after="0" w:line="181" w:lineRule="exact"/>
        <w:rPr>
          <w:rFonts w:ascii="Arial" w:cs="Arial" w:eastAsia="Arial" w:hAnsi="Arial"/>
          <w:sz w:val="17"/>
          <w:szCs w:val="17"/>
          <w:color w:val="auto"/>
        </w:rPr>
      </w:pPr>
    </w:p>
    <w:p>
      <w:pPr>
        <w:ind w:left="-8" w:right="300" w:firstLine="921"/>
        <w:spacing w:after="0" w:line="286" w:lineRule="auto"/>
        <w:tabs>
          <w:tab w:leader="none" w:pos="1085" w:val="left"/>
        </w:tabs>
        <w:numPr>
          <w:ilvl w:val="1"/>
          <w:numId w:val="261"/>
        </w:numPr>
        <w:rPr>
          <w:rFonts w:ascii="Arial" w:cs="Arial" w:eastAsia="Arial" w:hAnsi="Arial"/>
          <w:sz w:val="16"/>
          <w:szCs w:val="16"/>
          <w:color w:val="auto"/>
        </w:rPr>
      </w:pPr>
      <w:r>
        <w:rPr>
          <w:rFonts w:ascii="Arial" w:cs="Arial" w:eastAsia="Arial" w:hAnsi="Arial"/>
          <w:sz w:val="16"/>
          <w:szCs w:val="16"/>
          <w:color w:val="auto"/>
        </w:rPr>
        <w:t xml:space="preserve">METHOD OF PAYMENT. The Issuer will pay interest on this Note to the Person who is the registered Holder of this Note at the close of business on May 1 or November 1 (whether or not a Business Day), as the case may be, next preceding the Interest Payment Date, even if this Note is canceled after such record date and on or before such Interest Payment Date, except as provided in Section 2.12 of the Indenture with respect to defaulted interest. Cash payment of interest may be made by check mailed to the Holders at their addresses set forth in the Note Register of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8" w:firstLine="8"/>
        <w:spacing w:after="0" w:line="252" w:lineRule="auto"/>
        <w:tabs>
          <w:tab w:leader="none" w:pos="23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all cash payments of principal, premium, if any, and interest on, Notes represented by Global Notes registered in the name of or held by DTC or its nominee will be made by wire transfer of immediately available funds to the accounts specified by the Holder or Holders thereof and (b) all cash payments of principal, premium, if any, and interest with respect to certificated Notes will be made by wire transfer to a U.S. dollar account maintained by the payee with a bank in the United States if such Holder elects payment by wire transfer by giving written notice to the Trustee or the Paying Agent to such effect designating such account no later than 30 days immediately preceding the relevant due date for payment (or such other date as the Trustee may accept in its discretion). Such payment shall be in such coin or currency of the United States of America as at the time of payment is legal tender for payment of public and private debts.</w:t>
      </w:r>
    </w:p>
    <w:p>
      <w:pPr>
        <w:spacing w:after="0" w:line="193" w:lineRule="exact"/>
        <w:rPr>
          <w:rFonts w:ascii="Arial" w:cs="Arial" w:eastAsia="Arial" w:hAnsi="Arial"/>
          <w:sz w:val="18"/>
          <w:szCs w:val="18"/>
          <w:color w:val="auto"/>
        </w:rPr>
      </w:pPr>
    </w:p>
    <w:p>
      <w:pPr>
        <w:ind w:left="-8" w:right="120" w:firstLine="921"/>
        <w:spacing w:after="0" w:line="264" w:lineRule="auto"/>
        <w:tabs>
          <w:tab w:leader="none" w:pos="108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PAYING AGENT AND REGISTRAR. Initially, The Bank of New York Mellon Trust Company, N.A., the Trustee under the Indenture, will act as Paying Agent and Registrar. The Issuer may change any Paying Agent or Registrar without notice to the Holders. The Issuer or any of its Subsidiaries may act in any such capacity.</w:t>
      </w:r>
    </w:p>
    <w:p>
      <w:pPr>
        <w:spacing w:after="0" w:line="181" w:lineRule="exact"/>
        <w:rPr>
          <w:rFonts w:ascii="Arial" w:cs="Arial" w:eastAsia="Arial" w:hAnsi="Arial"/>
          <w:sz w:val="18"/>
          <w:szCs w:val="18"/>
          <w:color w:val="auto"/>
        </w:rPr>
      </w:pPr>
    </w:p>
    <w:p>
      <w:pPr>
        <w:ind w:left="-8" w:firstLine="921"/>
        <w:spacing w:after="0" w:line="255" w:lineRule="auto"/>
        <w:tabs>
          <w:tab w:leader="none" w:pos="108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INDENTURE. The Issuer issued the Notes under an Amended and Restated Indenture, dated as of [•], 2015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Freescale Semiconductor, Inc., the Guarantors named therein and the Trustee. This Note is one of a duly authorized issue of notes of the Issuer designated as its 5.000% Senior Secured Notes due 2021. The Issuer shall be entitled to issue Additional Notes pursuant to Section 2.01 and 4.09 of the Indenture.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spacing w:after="0" w:line="12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52"/>
          </w:cols>
          <w:pgMar w:left="248" w:top="274" w:right="299" w:bottom="1440" w:gutter="0" w:footer="0" w:header="0"/>
        </w:sectPr>
      </w:pPr>
    </w:p>
    <w:bookmarkStart w:id="173" w:name="page174"/>
    <w:bookmarkEnd w:id="17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OPTIONAL REDEMPTION.</w:t>
      </w:r>
    </w:p>
    <w:p>
      <w:pPr>
        <w:spacing w:after="0" w:line="117" w:lineRule="exact"/>
        <w:rPr>
          <w:sz w:val="20"/>
          <w:szCs w:val="20"/>
          <w:color w:val="auto"/>
        </w:rPr>
      </w:pPr>
    </w:p>
    <w:p>
      <w:pPr>
        <w:ind w:left="1160" w:hanging="239"/>
        <w:spacing w:after="0"/>
        <w:tabs>
          <w:tab w:leader="none" w:pos="11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Except as described below under clauses 5(b), 5(c) and 5(d) hereof, the Notes will not be redeemable at the Issuer’s option.</w:t>
      </w:r>
    </w:p>
    <w:p>
      <w:pPr>
        <w:spacing w:after="0" w:line="117" w:lineRule="exact"/>
        <w:rPr>
          <w:rFonts w:ascii="Arial" w:cs="Arial" w:eastAsia="Arial" w:hAnsi="Arial"/>
          <w:sz w:val="18"/>
          <w:szCs w:val="18"/>
          <w:color w:val="auto"/>
        </w:rPr>
      </w:pPr>
    </w:p>
    <w:p>
      <w:pPr>
        <w:ind w:firstLine="921"/>
        <w:spacing w:after="0" w:line="286" w:lineRule="auto"/>
        <w:tabs>
          <w:tab w:leader="none" w:pos="1168"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At any time prior to May 15, 2016, the Issuer may redeem all or a part of the Notes at a redemption price equal to 100% of the principal amount of the Notes redeemed plus the Applicable Premium as of, and accrued and unpaid interest, if any, to the date of redemption (the “</w:t>
      </w:r>
      <w:r>
        <w:rPr>
          <w:rFonts w:ascii="Arial" w:cs="Arial" w:eastAsia="Arial" w:hAnsi="Arial"/>
          <w:sz w:val="17"/>
          <w:szCs w:val="17"/>
          <w:u w:val="single" w:color="auto"/>
          <w:color w:val="auto"/>
        </w:rPr>
        <w:t>Redemption Date</w:t>
      </w:r>
      <w:r>
        <w:rPr>
          <w:rFonts w:ascii="Arial" w:cs="Arial" w:eastAsia="Arial" w:hAnsi="Arial"/>
          <w:sz w:val="17"/>
          <w:szCs w:val="17"/>
          <w:color w:val="auto"/>
        </w:rPr>
        <w:t>”), subject to the rights of Holders of Notes on the relevant Record Date to receive interest due on the relevant Interest Payment Date.</w:t>
      </w:r>
    </w:p>
    <w:p>
      <w:pPr>
        <w:spacing w:after="0" w:line="57" w:lineRule="exact"/>
        <w:rPr>
          <w:rFonts w:ascii="Arial" w:cs="Arial" w:eastAsia="Arial" w:hAnsi="Arial"/>
          <w:sz w:val="17"/>
          <w:szCs w:val="17"/>
          <w:color w:val="auto"/>
        </w:rPr>
      </w:pPr>
    </w:p>
    <w:p>
      <w:pPr>
        <w:ind w:firstLine="921"/>
        <w:spacing w:after="0" w:line="271" w:lineRule="auto"/>
        <w:tabs>
          <w:tab w:leader="none" w:pos="1158"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Until May 15, 2016, the Issuer may, at its option, on one or more occasions redeem up to 35% of the aggregate principal amount of Notes at a redemption price equal to 105.000% of the aggregate principal amount thereof, plus accrued and unpaid interest, if any, to the Redemption Date, subject to the right of Holders of record on the relevant Record Date to receive interest due on the relevant Interest Payment Date, with the net cash proceeds received of one or more Equity Offerings;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least 50% of the sum of the aggregate principal amount of Notes originally issued under the Indenture and any Additional Notes issued under the Indenture after the Issue Date remains outstanding immediately after the occurrence of each such redemption;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each such redemption occurs within 180 days of the date of closing of each such Equity Offering. Notice of any redemption upon any Equity Offering may be given prior to the redemption thereof, and any such redemption or notice may, at the Issuer’s discretion, be subject to one or more conditions precedent, including, but not limited to, completion of the related Equity Offering.</w:t>
      </w:r>
    </w:p>
    <w:p>
      <w:pPr>
        <w:spacing w:after="0" w:line="70" w:lineRule="exact"/>
        <w:rPr>
          <w:rFonts w:ascii="Arial" w:cs="Arial" w:eastAsia="Arial" w:hAnsi="Arial"/>
          <w:sz w:val="17"/>
          <w:szCs w:val="17"/>
          <w:color w:val="auto"/>
        </w:rPr>
      </w:pPr>
    </w:p>
    <w:p>
      <w:pPr>
        <w:jc w:val="both"/>
        <w:ind w:right="420" w:firstLine="921"/>
        <w:spacing w:after="0" w:line="259" w:lineRule="auto"/>
        <w:tabs>
          <w:tab w:leader="none" w:pos="116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On and after May 15, 2016, the Issuer may redeem the Notes, in whole or in part at the redemption prices (expressed as percentages of principal amount of the Notes to be redeemed) set forth below, plus accrued and unpaid interest, if any, to the Redemption Date, subject to the right of Holders of record on the relevant Record Date to receive interest due on the relevant Interest Payment Date, if redeemed during the twelve-month period beginning on May 15 of each of the years indicated below:</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3840" w:type="dxa"/>
            <w:vAlign w:val="bottom"/>
          </w:tcPr>
          <w:p>
            <w:pPr>
              <w:spacing w:after="0"/>
              <w:rPr>
                <w:sz w:val="14"/>
                <w:szCs w:val="14"/>
                <w:color w:val="auto"/>
              </w:rPr>
            </w:pPr>
          </w:p>
        </w:tc>
        <w:tc>
          <w:tcPr>
            <w:tcW w:w="3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4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2016</w:t>
            </w:r>
          </w:p>
        </w:tc>
        <w:tc>
          <w:tcPr>
            <w:tcW w:w="27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gridSpan w:val="2"/>
            <w:vMerge w:val="continue"/>
            <w:shd w:val="clear" w:color="auto" w:fill="CCEEFF"/>
          </w:tcPr>
          <w:p>
            <w:pPr>
              <w:spacing w:after="0"/>
              <w:rPr>
                <w:sz w:val="17"/>
                <w:szCs w:val="17"/>
                <w:color w:val="auto"/>
              </w:rPr>
            </w:pPr>
          </w:p>
        </w:tc>
        <w:tc>
          <w:tcPr>
            <w:tcW w:w="27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103.750%</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2017</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102.500%</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101.250%</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2019 and thereafter</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 Any redemption pursuant to this paragraph 5 shall be made pursuant to the provisions of Sections 3.01 through 3.06 of the Indenture.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6. MANDATORY REDEMPTION. The Issuer shall not be required to make mandatory redemption or sinking fund payments with respect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right="80" w:firstLine="921"/>
        <w:spacing w:after="0" w:line="264" w:lineRule="auto"/>
        <w:tabs>
          <w:tab w:leader="none" w:pos="109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NOTICE OF REDEMPTION. Subject to Section 3.03 of the Indenture, notice of redemption will be mailed by first-class mail at least 30 days but not more than 60 days before the redemption date (except that redemption notices may be mailed more than 60 days prior to a redemption date if the notice is issued in connection with Article 8 or Article 12 of the Indenture) to each 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174" w:name="page175"/>
    <w:bookmarkEnd w:id="174"/>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whose Notes are to be redeemed at its registered address. Notes in denominations larger than $2,000 may be redeemed in part but only in whole multiples of $1,000, unless all of the Notes held by a Holder are to be redeemed. On and after the Redemption Date, interest ceases to accrue on this Note or portions thereof called for redemption.</w:t>
      </w:r>
    </w:p>
    <w:p>
      <w:pPr>
        <w:spacing w:after="0" w:line="181" w:lineRule="exact"/>
        <w:rPr>
          <w:sz w:val="20"/>
          <w:szCs w:val="20"/>
          <w:color w:val="auto"/>
        </w:rPr>
      </w:pPr>
    </w:p>
    <w:p>
      <w:pPr>
        <w:ind w:firstLine="921"/>
        <w:spacing w:after="0" w:line="264" w:lineRule="auto"/>
        <w:tabs>
          <w:tab w:leader="none" w:pos="109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OFFERS TO REPURCHASE. Upon the occurrence of a Change of Control, the Issuer shall make a Change of Control Offer in accordance with Section 4.14 of the Indenture. In connection with certain Asset Sales, the Issuer shall make an Asset Sale Offer as and when provided in accordance with Section 4.10 of the Indenture.</w:t>
      </w:r>
    </w:p>
    <w:p>
      <w:pPr>
        <w:spacing w:after="0" w:line="181" w:lineRule="exact"/>
        <w:rPr>
          <w:rFonts w:ascii="Arial" w:cs="Arial" w:eastAsia="Arial" w:hAnsi="Arial"/>
          <w:sz w:val="18"/>
          <w:szCs w:val="18"/>
          <w:color w:val="auto"/>
        </w:rPr>
      </w:pPr>
    </w:p>
    <w:p>
      <w:pPr>
        <w:ind w:right="80" w:firstLine="921"/>
        <w:spacing w:after="0" w:line="273" w:lineRule="auto"/>
        <w:tabs>
          <w:tab w:leader="none" w:pos="1093" w:val="left"/>
        </w:tabs>
        <w:numPr>
          <w:ilvl w:val="0"/>
          <w:numId w:val="265"/>
        </w:numPr>
        <w:rPr>
          <w:rFonts w:ascii="Arial" w:cs="Arial" w:eastAsia="Arial" w:hAnsi="Arial"/>
          <w:sz w:val="17"/>
          <w:szCs w:val="17"/>
          <w:color w:val="auto"/>
        </w:rPr>
      </w:pPr>
      <w:r>
        <w:rPr>
          <w:rFonts w:ascii="Arial" w:cs="Arial" w:eastAsia="Arial" w:hAnsi="Arial"/>
          <w:sz w:val="17"/>
          <w:szCs w:val="17"/>
          <w:color w:val="auto"/>
        </w:rPr>
        <w:t>DENOMINATIONS, TRANSFER, EXCHANGE. The Notes are in registered form without coupons in denominations of $2,000 and integral multiples of $1,000 thereafter.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w:t>
      </w:r>
    </w:p>
    <w:p>
      <w:pPr>
        <w:spacing w:after="0" w:line="178" w:lineRule="exact"/>
        <w:rPr>
          <w:rFonts w:ascii="Arial" w:cs="Arial" w:eastAsia="Arial" w:hAnsi="Arial"/>
          <w:sz w:val="17"/>
          <w:szCs w:val="17"/>
          <w:color w:val="auto"/>
        </w:rPr>
      </w:pPr>
    </w:p>
    <w:p>
      <w:pPr>
        <w:ind w:left="1200" w:hanging="279"/>
        <w:spacing w:after="0"/>
        <w:tabs>
          <w:tab w:leader="none" w:pos="12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PERSONS DEEMED OWNERS. The registered Holder of a Note may be treated as its owner for all purposes.</w:t>
      </w:r>
    </w:p>
    <w:p>
      <w:pPr>
        <w:spacing w:after="0" w:line="225" w:lineRule="exact"/>
        <w:rPr>
          <w:rFonts w:ascii="Arial" w:cs="Arial" w:eastAsia="Arial" w:hAnsi="Arial"/>
          <w:sz w:val="18"/>
          <w:szCs w:val="18"/>
          <w:color w:val="auto"/>
        </w:rPr>
      </w:pPr>
    </w:p>
    <w:p>
      <w:pPr>
        <w:ind w:right="40" w:firstLine="921"/>
        <w:spacing w:after="0" w:line="277" w:lineRule="auto"/>
        <w:tabs>
          <w:tab w:leader="none" w:pos="117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AMENDMENT, SUPPLEMENT AND WAIVER. The Indenture, the Guarantees or the Notes may be amended or supplemented as provided in the Indenture.</w:t>
      </w:r>
    </w:p>
    <w:p>
      <w:pPr>
        <w:spacing w:after="0" w:line="170" w:lineRule="exact"/>
        <w:rPr>
          <w:rFonts w:ascii="Arial" w:cs="Arial" w:eastAsia="Arial" w:hAnsi="Arial"/>
          <w:sz w:val="18"/>
          <w:szCs w:val="18"/>
          <w:color w:val="auto"/>
        </w:rPr>
      </w:pPr>
    </w:p>
    <w:p>
      <w:pPr>
        <w:ind w:firstLine="921"/>
        <w:spacing w:after="0" w:line="287" w:lineRule="auto"/>
        <w:tabs>
          <w:tab w:leader="none" w:pos="118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DEFAULTS AND REMEDIES. The Events of Default relating to the Notes are defined in Section 6.01 of the Indenture. If any Event of Default occurs and is continuing, the Trustee or the Holders of at least 30% in principal amount of the then outstanding Notes may declare the principal, premium, if any, interest and any other monetary obligations on all the then outstanding Notes to be due and payable immediately. Notwithstanding the foregoing, in the case of an Event of Default arising from certain events of bankruptcy or insolvency, all outstanding Notes will become due and payable immediately without further action or notice. Holders may not enforce the Indenture, the Notes or the Guarantees except as provided in the Indenture. Subject to certain limitations, Holders of a majority in aggregate principal amount of the then outstanding Notes may direct the Trustee in its exercise of any trust or power. The Trustee may withhold from Holders notice of any continuing Default (except a Default relating to the payment of principal, premium, if any, or interest) if it determines that withholding notice is in their interest. The Holders of a majority in aggregate principal amount of the Notes then outstanding by notice to the Trustee may on behalf of the Holders of all of the Notes waive any existing Default or and its consequences under the Indenture except a continuing Default in payment of the principal of, premium, if any, or interest on, any of the Notes held by a non-consenting Holder. Holdings III is required to deliver to the Trustee annually a statement regarding compliance with the Indenture, and Holdings III is required within five (5) Business Days after becoming aware of any Default, to deliver to the Trustee a statement specifying such Default and what action the Issuer proposes to take with respect thereto.</w:t>
      </w:r>
    </w:p>
    <w:p>
      <w:pPr>
        <w:spacing w:after="0" w:line="168" w:lineRule="exact"/>
        <w:rPr>
          <w:rFonts w:ascii="Arial" w:cs="Arial" w:eastAsia="Arial" w:hAnsi="Arial"/>
          <w:sz w:val="16"/>
          <w:szCs w:val="16"/>
          <w:color w:val="auto"/>
        </w:rPr>
      </w:pPr>
    </w:p>
    <w:p>
      <w:pPr>
        <w:ind w:right="520" w:firstLine="921"/>
        <w:spacing w:after="0" w:line="277" w:lineRule="auto"/>
        <w:tabs>
          <w:tab w:leader="none" w:pos="118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AUTHENTICATION. This Note shall not be entitled to any benefit under the Indenture or be valid or obligatory for any purpose until authenticated by the manual signature of the Trustee.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274" w:right="279" w:bottom="1440" w:gutter="0" w:footer="0" w:header="0"/>
        </w:sectPr>
      </w:pPr>
    </w:p>
    <w:bookmarkStart w:id="175" w:name="page176"/>
    <w:bookmarkEnd w:id="175"/>
    <w:p>
      <w:pPr>
        <w:ind w:right="860" w:firstLine="921"/>
        <w:spacing w:after="0" w:line="277" w:lineRule="auto"/>
        <w:tabs>
          <w:tab w:leader="none" w:pos="1183" w:val="left"/>
        </w:tabs>
        <w:numPr>
          <w:ilvl w:val="0"/>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THE LAWS OF THE STATE OF NEW YORK SHALL GOVERN AND BE USED TO CONSTRUE THE INDENTURE, THE NOTES, THE GUARANTEES AND THE COLLATERAL DOCUMENTS RELATING TO THE NOTES.</w:t>
      </w:r>
    </w:p>
    <w:p>
      <w:pPr>
        <w:spacing w:after="0" w:line="170" w:lineRule="exact"/>
        <w:rPr>
          <w:rFonts w:ascii="Arial" w:cs="Arial" w:eastAsia="Arial" w:hAnsi="Arial"/>
          <w:sz w:val="18"/>
          <w:szCs w:val="18"/>
          <w:color w:val="auto"/>
        </w:rPr>
      </w:pPr>
    </w:p>
    <w:p>
      <w:pPr>
        <w:ind w:right="140" w:firstLine="921"/>
        <w:spacing w:after="0" w:line="279" w:lineRule="auto"/>
        <w:tabs>
          <w:tab w:leader="none" w:pos="1183" w:val="left"/>
        </w:tabs>
        <w:numPr>
          <w:ilvl w:val="0"/>
          <w:numId w:val="266"/>
        </w:numPr>
        <w:rPr>
          <w:rFonts w:ascii="Arial" w:cs="Arial" w:eastAsia="Arial" w:hAnsi="Arial"/>
          <w:sz w:val="17"/>
          <w:szCs w:val="17"/>
          <w:color w:val="auto"/>
        </w:rPr>
      </w:pPr>
      <w:r>
        <w:rPr>
          <w:rFonts w:ascii="Arial" w:cs="Arial" w:eastAsia="Arial" w:hAnsi="Arial"/>
          <w:sz w:val="17"/>
          <w:szCs w:val="17"/>
          <w:color w:val="auto"/>
        </w:rPr>
        <w:t>CUSIP AND ISIN NUMBERS. Pursuant to a recommendation promulgated by the Committee on Uniform Security Identification Procedures, the Issuer has caused CUSIP and ISIN numbers to be printed on the Notes and the Trustee may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 the Issuer at the following address: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Freescale Semiconductor,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6501 William Cannon Drive West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Austin, Texas 78735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(512) 996-6853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60"/>
          </w:cols>
          <w:pgMar w:left="240" w:top="274" w:right="299" w:bottom="1440" w:gutter="0" w:footer="0" w:header="0"/>
        </w:sectPr>
      </w:pPr>
    </w:p>
    <w:bookmarkStart w:id="176" w:name="page177"/>
    <w:bookmarkEnd w:id="17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(Insert assignee’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-10160</wp:posOffset>
            </wp:positionV>
            <wp:extent cx="46863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6863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Issuer. The agent may substitute another to act for him.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9144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14605</wp:posOffset>
            </wp:positionV>
            <wp:extent cx="19983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5"/>
          <w:szCs w:val="15"/>
          <w:color w:val="auto"/>
        </w:rPr>
        <w:t>(Sign exactly as your name appears on the</w:t>
      </w:r>
    </w:p>
    <w:p>
      <w:pPr>
        <w:spacing w:after="0" w:line="58"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face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-10160</wp:posOffset>
            </wp:positionV>
            <wp:extent cx="12858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80" w:right="2160" w:hanging="5572"/>
        <w:spacing w:after="0" w:line="449" w:lineRule="auto"/>
        <w:tabs>
          <w:tab w:leader="none" w:pos="23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1320"/>
          </w:cols>
          <w:pgMar w:left="240" w:top="274" w:right="33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OF HOLDER TO ELECT PURCHASE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If you want to elect to have this Note purchased by the Issuer pursuant to Section 4.10 or 4.14 of the Indenture, check the appropriate box below:</w:t>
      </w:r>
    </w:p>
    <w:p>
      <w:pPr>
        <w:spacing w:after="0" w:line="237" w:lineRule="exact"/>
        <w:rPr>
          <w:sz w:val="20"/>
          <w:szCs w:val="20"/>
          <w:color w:val="auto"/>
        </w:rPr>
      </w:pPr>
    </w:p>
    <w:p>
      <w:pPr>
        <w:jc w:val="center"/>
        <w:ind w:right="-39"/>
        <w:spacing w:after="0"/>
        <w:tabs>
          <w:tab w:leader="none" w:pos="100" w:val="left"/>
          <w:tab w:leader="none" w:pos="120" w:val="left"/>
        </w:tabs>
        <w:rPr>
          <w:sz w:val="20"/>
          <w:szCs w:val="20"/>
          <w:color w:val="auto"/>
        </w:rPr>
      </w:pPr>
      <w:r>
        <w:rPr>
          <w:rFonts w:ascii="Arial" w:cs="Arial" w:eastAsia="Arial" w:hAnsi="Arial"/>
          <w:sz w:val="18"/>
          <w:szCs w:val="18"/>
          <w:color w:val="auto"/>
        </w:rPr>
        <w:t>[</w:t>
        <w:tab/>
        <w:t>] Section 4.10 [</w:t>
      </w:r>
      <w:r>
        <w:rPr>
          <w:sz w:val="20"/>
          <w:szCs w:val="20"/>
          <w:color w:val="auto"/>
        </w:rPr>
        <w:tab/>
      </w:r>
      <w:r>
        <w:rPr>
          <w:rFonts w:ascii="Arial" w:cs="Arial" w:eastAsia="Arial" w:hAnsi="Arial"/>
          <w:sz w:val="16"/>
          <w:szCs w:val="16"/>
          <w:color w:val="auto"/>
        </w:rPr>
        <w:t>] Section 4.14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want to elect to have only part of this Note purchased by the Issuer pursuant to Section 4.10 or Section 4.14 of the Indenture, state the amount you elect to have purchased:</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8001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14605</wp:posOffset>
            </wp:positionV>
            <wp:extent cx="19983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(Sign exactly as your name appears on the</w:t>
      </w:r>
    </w:p>
    <w:p>
      <w:pPr>
        <w:spacing w:after="0" w:line="4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face of this Note)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5424170</wp:posOffset>
            </wp:positionH>
            <wp:positionV relativeFrom="paragraph">
              <wp:posOffset>-19050</wp:posOffset>
            </wp:positionV>
            <wp:extent cx="16859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-10160</wp:posOffset>
            </wp:positionV>
            <wp:extent cx="12858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20" w:right="2240" w:hanging="5512"/>
        <w:spacing w:after="0" w:line="449" w:lineRule="auto"/>
        <w:tabs>
          <w:tab w:leader="none" w:pos="21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ectPr>
          <w:pgSz w:w="11900" w:h="16838" w:orient="portrait"/>
          <w:cols w:equalWidth="0" w:num="1">
            <w:col w:w="11400"/>
          </w:cols>
          <w:pgMar w:left="240" w:top="274" w:right="25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INTERESTS IN THE GLOBAL NOTE*</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Principal Amount</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82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Amount of</w:t>
            </w:r>
          </w:p>
        </w:tc>
        <w:tc>
          <w:tcPr>
            <w:tcW w:w="19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1"/>
              </w:rPr>
              <w:t>Amount of increase</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of this</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82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860" w:type="dxa"/>
            <w:vAlign w:val="bottom"/>
            <w:gridSpan w:val="2"/>
          </w:tcPr>
          <w:p>
            <w:pPr>
              <w:jc w:val="center"/>
              <w:ind w:right="760"/>
              <w:spacing w:after="0" w:line="145" w:lineRule="exact"/>
              <w:rPr>
                <w:sz w:val="20"/>
                <w:szCs w:val="20"/>
                <w:color w:val="auto"/>
              </w:rPr>
            </w:pPr>
            <w:r>
              <w:rPr>
                <w:rFonts w:ascii="Arial" w:cs="Arial" w:eastAsia="Arial" w:hAnsi="Arial"/>
                <w:sz w:val="14"/>
                <w:szCs w:val="14"/>
                <w:b w:val="1"/>
                <w:bCs w:val="1"/>
                <w:color w:val="auto"/>
                <w:w w:val="94"/>
              </w:rPr>
              <w:t>Global Note</w:t>
            </w: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authorized</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rPr>
              <w:t>Date of</w:t>
            </w:r>
          </w:p>
        </w:tc>
        <w:tc>
          <w:tcPr>
            <w:tcW w:w="3380" w:type="dxa"/>
            <w:vAlign w:val="bottom"/>
          </w:tcPr>
          <w:p>
            <w:pPr>
              <w:spacing w:after="0"/>
              <w:rPr>
                <w:sz w:val="12"/>
                <w:szCs w:val="12"/>
                <w:color w:val="auto"/>
              </w:rPr>
            </w:pPr>
          </w:p>
        </w:tc>
        <w:tc>
          <w:tcPr>
            <w:tcW w:w="28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decrease</w:t>
            </w:r>
          </w:p>
        </w:tc>
        <w:tc>
          <w:tcPr>
            <w:tcW w:w="19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officer</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3380" w:type="dxa"/>
            <w:vAlign w:val="bottom"/>
          </w:tcPr>
          <w:p>
            <w:pPr>
              <w:spacing w:after="0"/>
              <w:rPr>
                <w:sz w:val="12"/>
                <w:szCs w:val="12"/>
                <w:color w:val="auto"/>
              </w:rPr>
            </w:pPr>
          </w:p>
        </w:tc>
        <w:tc>
          <w:tcPr>
            <w:tcW w:w="28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in Principal</w:t>
            </w:r>
          </w:p>
        </w:tc>
        <w:tc>
          <w:tcPr>
            <w:tcW w:w="19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decrease or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Trustee or</w:t>
            </w:r>
          </w:p>
        </w:tc>
        <w:tc>
          <w:tcPr>
            <w:tcW w:w="0" w:type="dxa"/>
            <w:vAlign w:val="bottom"/>
          </w:tcPr>
          <w:p>
            <w:pPr>
              <w:spacing w:after="0"/>
              <w:rPr>
                <w:sz w:val="1"/>
                <w:szCs w:val="1"/>
                <w:color w:val="auto"/>
              </w:rPr>
            </w:pPr>
          </w:p>
        </w:tc>
      </w:tr>
      <w:tr>
        <w:trPr>
          <w:trHeight w:val="135"/>
        </w:trPr>
        <w:tc>
          <w:tcPr>
            <w:tcW w:w="6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4"/>
              </w:rPr>
              <w:t>Exchange</w:t>
            </w:r>
          </w:p>
        </w:tc>
        <w:tc>
          <w:tcPr>
            <w:tcW w:w="3380" w:type="dxa"/>
            <w:vAlign w:val="bottom"/>
          </w:tcPr>
          <w:p>
            <w:pPr>
              <w:spacing w:after="0"/>
              <w:rPr>
                <w:sz w:val="11"/>
                <w:szCs w:val="11"/>
                <w:color w:val="auto"/>
              </w:rPr>
            </w:pPr>
          </w:p>
        </w:tc>
        <w:tc>
          <w:tcPr>
            <w:tcW w:w="282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4"/>
              </w:rPr>
              <w:t>Amount</w:t>
            </w:r>
          </w:p>
        </w:tc>
        <w:tc>
          <w:tcPr>
            <w:tcW w:w="196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94"/>
              </w:rPr>
              <w:t>Global Note</w:t>
            </w:r>
          </w:p>
        </w:tc>
        <w:tc>
          <w:tcPr>
            <w:tcW w:w="186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7"/>
              </w:rPr>
              <w:t>increase</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This schedule should be included only if the Note is issued in global form.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4"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Freescale Semiconductor,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6501 William Cannon Drive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512-996-6853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601 Travis Street,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713-483-6954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Freescale Semiconductor Trustee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 5.000% Senior Secured Notes due 2021</w:t>
      </w:r>
    </w:p>
    <w:p>
      <w:pPr>
        <w:spacing w:after="0" w:line="225"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Reference is hereby made to the Amended and Restated Indenture, dated as of [•], 2015 (the “</w:t>
      </w:r>
      <w:r>
        <w:rPr>
          <w:rFonts w:ascii="Arial" w:cs="Arial" w:eastAsia="Arial" w:hAnsi="Arial"/>
          <w:sz w:val="16"/>
          <w:szCs w:val="16"/>
          <w:u w:val="single" w:color="auto"/>
          <w:color w:val="auto"/>
        </w:rPr>
        <w:t>Indenture</w:t>
      </w:r>
      <w:r>
        <w:rPr>
          <w:rFonts w:ascii="Arial" w:cs="Arial" w:eastAsia="Arial" w:hAnsi="Arial"/>
          <w:sz w:val="16"/>
          <w:szCs w:val="16"/>
          <w:color w:val="auto"/>
        </w:rPr>
        <w:t>”), among Freescale Semiconductor, Inc., the Guarantors named therein and the Trustee. Capitalized terms used but not defined herein shall have the meanings given to them in the Indenture.</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Transferor</w:t>
      </w:r>
      <w:r>
        <w:rPr>
          <w:rFonts w:ascii="Arial" w:cs="Arial" w:eastAsia="Arial" w:hAnsi="Arial"/>
          <w:sz w:val="17"/>
          <w:szCs w:val="17"/>
          <w:color w:val="auto"/>
        </w:rPr>
        <w:t>”) owns and proposes to transfer the Note[s] or interest in such Note[s] specified in Annex A hereto, in the principal</w:t>
      </w:r>
    </w:p>
    <w:p>
      <w:pPr>
        <w:spacing w:after="0" w:line="35"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amount of $</w:t>
      </w:r>
      <w:r>
        <w:rPr>
          <w:sz w:val="20"/>
          <w:szCs w:val="20"/>
          <w:color w:val="auto"/>
        </w:rPr>
        <w:tab/>
      </w:r>
      <w:r>
        <w:rPr>
          <w:rFonts w:ascii="Arial" w:cs="Arial" w:eastAsia="Arial" w:hAnsi="Arial"/>
          <w:sz w:val="16"/>
          <w:szCs w:val="16"/>
          <w:color w:val="auto"/>
        </w:rPr>
        <w:t>in such Note[s] or interests (the “</w:t>
      </w:r>
      <w:r>
        <w:rPr>
          <w:rFonts w:ascii="Arial" w:cs="Arial" w:eastAsia="Arial" w:hAnsi="Arial"/>
          <w:sz w:val="16"/>
          <w:szCs w:val="16"/>
          <w:u w:val="single" w:color="auto"/>
          <w:color w:val="auto"/>
        </w:rPr>
        <w:t>Transfer</w:t>
      </w:r>
      <w:r>
        <w:rPr>
          <w:rFonts w:ascii="Arial" w:cs="Arial" w:eastAsia="Arial" w:hAnsi="Arial"/>
          <w:sz w:val="16"/>
          <w:szCs w:val="16"/>
          <w:color w:val="auto"/>
        </w:rPr>
        <w:t>”), to (the “</w:t>
      </w:r>
      <w:r>
        <w:rPr>
          <w:rFonts w:ascii="Arial" w:cs="Arial" w:eastAsia="Arial" w:hAnsi="Arial"/>
          <w:sz w:val="16"/>
          <w:szCs w:val="16"/>
          <w:u w:val="single" w:color="auto"/>
          <w:color w:val="auto"/>
        </w:rPr>
        <w:t>Transferee</w:t>
      </w:r>
      <w:r>
        <w:rPr>
          <w:rFonts w:ascii="Arial" w:cs="Arial" w:eastAsia="Arial" w:hAnsi="Arial"/>
          <w:sz w:val="16"/>
          <w:szCs w:val="16"/>
          <w:color w:val="auto"/>
        </w:rPr>
        <w:t>”), as further specified in Annex A hereto. In connection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the Transferor hereby certifies that: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225" w:lineRule="exact"/>
        <w:rPr>
          <w:sz w:val="20"/>
          <w:szCs w:val="20"/>
          <w:color w:val="auto"/>
        </w:rPr>
      </w:pPr>
    </w:p>
    <w:p>
      <w:pPr>
        <w:ind w:right="60" w:firstLine="921"/>
        <w:spacing w:after="0" w:line="272" w:lineRule="auto"/>
        <w:tabs>
          <w:tab w:leader="none" w:pos="1093"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 CHECK IF TRANSFEREE WILL TAKE DELIVERY OF A BENEFICIAL INTEREST IN THE RELEVANT 144A GLOBAL NOTE OR RELEVANT DEFINITIVE NOTE PURSUANT TO RULE 144A. The Transfer is being effected pursuant to and in accordance with Rule 144A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w:t>
      </w:r>
    </w:p>
    <w:p>
      <w:pPr>
        <w:spacing w:after="0" w:line="177" w:lineRule="exact"/>
        <w:rPr>
          <w:rFonts w:ascii="Arial" w:cs="Arial" w:eastAsia="Arial" w:hAnsi="Arial"/>
          <w:sz w:val="17"/>
          <w:szCs w:val="17"/>
          <w:color w:val="auto"/>
        </w:rPr>
      </w:pPr>
    </w:p>
    <w:p>
      <w:pPr>
        <w:ind w:right="20" w:firstLine="921"/>
        <w:spacing w:after="0" w:line="293" w:lineRule="auto"/>
        <w:tabs>
          <w:tab w:leader="none" w:pos="109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 CHECK IF TRANSFEREE WILL TAKE DELIVERY OF A BENEFICIAL INTEREST IN THE RELEVANT REGULATION S GLOBAL NOTE OR RELEVANT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80" w:name="page181"/>
    <w:bookmarkEnd w:id="18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the Initial Purchasers). Upon consummation of the proposed transfer in accordance with the terms of the Indenture, the transferred beneficial interest or Definitive Note will be subject to the restrictions on Transfer enumerated in the Indenture and the Securities Act.</w:t>
      </w:r>
    </w:p>
    <w:p>
      <w:pPr>
        <w:spacing w:after="0" w:line="193" w:lineRule="exact"/>
        <w:rPr>
          <w:sz w:val="20"/>
          <w:szCs w:val="20"/>
          <w:color w:val="auto"/>
        </w:rPr>
      </w:pPr>
    </w:p>
    <w:p>
      <w:pPr>
        <w:ind w:right="60" w:firstLine="921"/>
        <w:spacing w:after="0" w:line="257" w:lineRule="auto"/>
        <w:tabs>
          <w:tab w:leader="none" w:pos="109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 CHECK AND COMPLETE IF TRANSFEREE WILL TAKE DELIVERY OF A BENEFICIAL INTEREST IN THE RELEVANT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80" w:lineRule="exact"/>
        <w:rPr>
          <w:sz w:val="20"/>
          <w:szCs w:val="20"/>
          <w:color w:val="auto"/>
        </w:rPr>
      </w:pPr>
    </w:p>
    <w:p>
      <w:pPr>
        <w:ind w:left="1160" w:hanging="239"/>
        <w:spacing w:after="0"/>
        <w:tabs>
          <w:tab w:leader="none" w:pos="11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 such Transfer is being effected pursuant to and in accordance with Rule 144 under the Securities Act;</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 such Transfer is being effected to the Issuer or a subsidiary thereof;</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right="700" w:firstLine="921"/>
        <w:spacing w:after="0" w:line="277" w:lineRule="auto"/>
        <w:tabs>
          <w:tab w:leader="none" w:pos="115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 such Transfer is being effected pursuant to an effective registration statement under the Securities Act and in compliance with the prospectus delivery requirements of the Securities Act.</w:t>
      </w:r>
    </w:p>
    <w:p>
      <w:pPr>
        <w:spacing w:after="0" w:line="170" w:lineRule="exact"/>
        <w:rPr>
          <w:sz w:val="20"/>
          <w:szCs w:val="20"/>
          <w:color w:val="auto"/>
        </w:rPr>
      </w:pPr>
    </w:p>
    <w:p>
      <w:pPr>
        <w:ind w:right="180" w:firstLine="921"/>
        <w:spacing w:after="0" w:line="277" w:lineRule="auto"/>
        <w:tabs>
          <w:tab w:leader="none" w:pos="109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 CHECK IF TRANSFEREE WILL TAKE DELIVERY OF A BENEFICIAL INTEREST IN AN UNRESTRICTED GLOBAL NOTE OR OF AN UNRESTRICTED DEFINITIVE NOTE.</w:t>
      </w:r>
    </w:p>
    <w:p>
      <w:pPr>
        <w:spacing w:after="0" w:line="62" w:lineRule="exact"/>
        <w:rPr>
          <w:sz w:val="20"/>
          <w:szCs w:val="20"/>
          <w:color w:val="auto"/>
        </w:rPr>
      </w:pPr>
    </w:p>
    <w:p>
      <w:pPr>
        <w:ind w:right="80" w:firstLine="921"/>
        <w:spacing w:after="0" w:line="255" w:lineRule="auto"/>
        <w:tabs>
          <w:tab w:leader="none" w:pos="115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85" w:lineRule="exact"/>
        <w:rPr>
          <w:rFonts w:ascii="Arial" w:cs="Arial" w:eastAsia="Arial" w:hAnsi="Arial"/>
          <w:sz w:val="18"/>
          <w:szCs w:val="18"/>
          <w:color w:val="auto"/>
        </w:rPr>
      </w:pPr>
    </w:p>
    <w:p>
      <w:pPr>
        <w:ind w:firstLine="921"/>
        <w:spacing w:after="0" w:line="273" w:lineRule="auto"/>
        <w:tabs>
          <w:tab w:leader="none" w:pos="116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 CHECK IF TRANSFER IS PURSUANT TO REGULATION S.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74" w:right="259" w:bottom="1440" w:gutter="0" w:footer="0" w:header="0"/>
        </w:sectPr>
      </w:pPr>
    </w:p>
    <w:bookmarkStart w:id="181" w:name="page182"/>
    <w:bookmarkEnd w:id="181"/>
    <w:p>
      <w:pPr>
        <w:ind w:firstLine="921"/>
        <w:spacing w:after="0" w:line="293" w:lineRule="auto"/>
        <w:tabs>
          <w:tab w:leader="none" w:pos="1158" w:val="left"/>
        </w:tabs>
        <w:numPr>
          <w:ilvl w:val="0"/>
          <w:numId w:val="2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Issuer.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028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74" w:right="25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 TO CERTIFICATE OF TRANSFER</w:t>
      </w:r>
    </w:p>
    <w:p>
      <w:pPr>
        <w:spacing w:after="0" w:line="252" w:lineRule="exact"/>
        <w:rPr>
          <w:sz w:val="20"/>
          <w:szCs w:val="20"/>
          <w:color w:val="auto"/>
        </w:rPr>
      </w:pPr>
    </w:p>
    <w:p>
      <w:pPr>
        <w:ind w:left="460" w:hanging="452"/>
        <w:spacing w:after="0"/>
        <w:tabs>
          <w:tab w:leader="none" w:pos="4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ONE OF (a) OR (b)]</w:t>
      </w:r>
    </w:p>
    <w:p>
      <w:pPr>
        <w:spacing w:after="0" w:line="131" w:lineRule="exact"/>
        <w:rPr>
          <w:sz w:val="20"/>
          <w:szCs w:val="20"/>
          <w:color w:val="auto"/>
        </w:rPr>
      </w:pPr>
    </w:p>
    <w:p>
      <w:pPr>
        <w:ind w:left="460" w:hanging="452"/>
        <w:spacing w:after="0"/>
        <w:tabs>
          <w:tab w:leader="none" w:pos="4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 144A Global Note (CUSIP: 35687M AY3),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 Regulation S Global Note (CUSIP: U31395 AM5),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 a Restricted Definitive Note.</w:t>
      </w:r>
    </w:p>
    <w:p>
      <w:pPr>
        <w:spacing w:after="0" w:line="131" w:lineRule="exact"/>
        <w:rPr>
          <w:sz w:val="20"/>
          <w:szCs w:val="20"/>
          <w:color w:val="auto"/>
        </w:rPr>
      </w:pPr>
    </w:p>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ONE]</w:t>
      </w:r>
    </w:p>
    <w:p>
      <w:pPr>
        <w:spacing w:after="0" w:line="252" w:lineRule="exact"/>
        <w:rPr>
          <w:sz w:val="20"/>
          <w:szCs w:val="20"/>
          <w:color w:val="auto"/>
        </w:rPr>
      </w:pPr>
    </w:p>
    <w:p>
      <w:pPr>
        <w:ind w:left="460" w:hanging="452"/>
        <w:spacing w:after="0"/>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 144A Global Note (CUSIP: ),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 Regulation S Global Note [CUSIP: ), or</w:t>
      </w:r>
    </w:p>
    <w:p>
      <w:pPr>
        <w:spacing w:after="0" w:line="131" w:lineRule="exact"/>
        <w:rPr>
          <w:sz w:val="20"/>
          <w:szCs w:val="20"/>
          <w:color w:val="auto"/>
        </w:rPr>
      </w:pPr>
    </w:p>
    <w:p>
      <w:pPr>
        <w:ind w:left="460"/>
        <w:spacing w:after="0"/>
        <w:tabs>
          <w:tab w:leader="none" w:pos="880" w:val="left"/>
          <w:tab w:leader="none" w:pos="3560" w:val="left"/>
        </w:tabs>
        <w:rPr>
          <w:sz w:val="20"/>
          <w:szCs w:val="20"/>
          <w:color w:val="auto"/>
        </w:rPr>
      </w:pPr>
      <w:r>
        <w:rPr>
          <w:rFonts w:ascii="Arial" w:cs="Arial" w:eastAsia="Arial" w:hAnsi="Arial"/>
          <w:sz w:val="18"/>
          <w:szCs w:val="18"/>
          <w:color w:val="auto"/>
        </w:rPr>
        <w:t>(iii)</w:t>
        <w:tab/>
        <w:t>[ ] Unrestricted Global Note (</w:t>
      </w:r>
      <w:r>
        <w:rPr>
          <w:sz w:val="20"/>
          <w:szCs w:val="20"/>
          <w:color w:val="auto"/>
        </w:rPr>
        <w:tab/>
      </w:r>
      <w:r>
        <w:rPr>
          <w:rFonts w:ascii="Arial" w:cs="Arial" w:eastAsia="Arial" w:hAnsi="Arial"/>
          <w:sz w:val="16"/>
          <w:szCs w:val="16"/>
          <w:color w:val="auto"/>
        </w:rPr>
        <w:t>); or</w:t>
      </w:r>
    </w:p>
    <w:p>
      <w:pPr>
        <w:spacing w:after="0" w:line="131" w:lineRule="exact"/>
        <w:rPr>
          <w:sz w:val="20"/>
          <w:szCs w:val="20"/>
          <w:color w:val="auto"/>
        </w:rPr>
      </w:pPr>
    </w:p>
    <w:p>
      <w:pPr>
        <w:ind w:left="460" w:hanging="452"/>
        <w:spacing w:after="0"/>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 a Restricted Definitive Note;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 an Unrestricted Definitive Note,</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accordance with the terms of the Indenture.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Annex-1</w:t>
      </w:r>
    </w:p>
    <w:p>
      <w:pPr>
        <w:sectPr>
          <w:pgSz w:w="11900" w:h="16838" w:orient="portrait"/>
          <w:cols w:equalWidth="0" w:num="1">
            <w:col w:w="11420"/>
          </w:cols>
          <w:pgMar w:left="240" w:top="274"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Freescale Semiconductor,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6501 William Cannon Drive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512-996-6853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601 Travis Street,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713-483-6954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Freescale Semiconductor Trustee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 5.000% Senior Secured Notes due 2021</w:t>
      </w:r>
    </w:p>
    <w:p>
      <w:pPr>
        <w:spacing w:after="0" w:line="225"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Reference is hereby made to the Amended and Restated Indenture, dated as of [•], 2015 (the “</w:t>
      </w:r>
      <w:r>
        <w:rPr>
          <w:rFonts w:ascii="Arial" w:cs="Arial" w:eastAsia="Arial" w:hAnsi="Arial"/>
          <w:sz w:val="16"/>
          <w:szCs w:val="16"/>
          <w:u w:val="single" w:color="auto"/>
          <w:color w:val="auto"/>
        </w:rPr>
        <w:t>Indenture</w:t>
      </w:r>
      <w:r>
        <w:rPr>
          <w:rFonts w:ascii="Arial" w:cs="Arial" w:eastAsia="Arial" w:hAnsi="Arial"/>
          <w:sz w:val="16"/>
          <w:szCs w:val="16"/>
          <w:color w:val="auto"/>
        </w:rPr>
        <w:t>”), among Freescale Semiconductor, Inc., the Guarantors named therein and the Trustee. Capitalized terms used but not defined herein shall have the meanings given to them in the Indenture.</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Owner</w:t>
      </w:r>
      <w:r>
        <w:rPr>
          <w:rFonts w:ascii="Arial" w:cs="Arial" w:eastAsia="Arial" w:hAnsi="Arial"/>
          <w:sz w:val="17"/>
          <w:szCs w:val="17"/>
          <w:color w:val="auto"/>
        </w:rPr>
        <w:t>”) owns and proposes to exchange the Note[s] or interest in such Note[s] specified herein, in the principal amount of</w:t>
      </w:r>
    </w:p>
    <w:p>
      <w:pPr>
        <w:spacing w:after="0" w:line="35" w:lineRule="exact"/>
        <w:rPr>
          <w:sz w:val="20"/>
          <w:szCs w:val="20"/>
          <w:color w:val="auto"/>
        </w:rPr>
      </w:pPr>
    </w:p>
    <w:p>
      <w:pPr>
        <w:ind w:left="680" w:hanging="672"/>
        <w:spacing w:after="0"/>
        <w:tabs>
          <w:tab w:leader="none" w:pos="6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 such Note[s] or interests (the “</w:t>
      </w:r>
      <w:r>
        <w:rPr>
          <w:rFonts w:ascii="Arial" w:cs="Arial" w:eastAsia="Arial" w:hAnsi="Arial"/>
          <w:sz w:val="18"/>
          <w:szCs w:val="18"/>
          <w:u w:val="single" w:color="auto"/>
          <w:color w:val="auto"/>
        </w:rPr>
        <w:t>Exchange</w:t>
      </w:r>
      <w:r>
        <w:rPr>
          <w:rFonts w:ascii="Arial" w:cs="Arial" w:eastAsia="Arial" w:hAnsi="Arial"/>
          <w:sz w:val="18"/>
          <w:szCs w:val="18"/>
          <w:color w:val="auto"/>
        </w:rPr>
        <w:t>”). In connection with the Exchange, the Owner hereby certifies that:</w:t>
      </w:r>
    </w:p>
    <w:p>
      <w:pPr>
        <w:spacing w:after="0" w:line="102" w:lineRule="exact"/>
        <w:rPr>
          <w:rFonts w:ascii="Arial" w:cs="Arial" w:eastAsia="Arial" w:hAnsi="Arial"/>
          <w:sz w:val="18"/>
          <w:szCs w:val="18"/>
          <w:color w:val="auto"/>
        </w:rPr>
      </w:pPr>
    </w:p>
    <w:p>
      <w:pPr>
        <w:ind w:right="600" w:firstLine="921"/>
        <w:spacing w:after="0" w:line="277" w:lineRule="auto"/>
        <w:tabs>
          <w:tab w:leader="none" w:pos="1108" w:val="left"/>
        </w:tabs>
        <w:numPr>
          <w:ilvl w:val="1"/>
          <w:numId w:val="281"/>
        </w:numPr>
        <w:rPr>
          <w:rFonts w:ascii="Arial" w:cs="Arial" w:eastAsia="Arial" w:hAnsi="Arial"/>
          <w:sz w:val="18"/>
          <w:szCs w:val="18"/>
          <w:color w:val="auto"/>
        </w:rPr>
      </w:pPr>
      <w:r>
        <w:rPr>
          <w:rFonts w:ascii="Arial" w:cs="Arial" w:eastAsia="Arial" w:hAnsi="Arial"/>
          <w:sz w:val="18"/>
          <w:szCs w:val="18"/>
          <w:color w:val="auto"/>
        </w:rPr>
        <w:t>EXCHANGE OF RESTRICTED DEFINITIVE NOTES OR BENEFICIAL INTERESTS IN A RESTRICTED GLOBAL NOTE FOR UNRESTRICTED DEFINITIVE NOTES OR BENEFICIAL INTERESTS IN AN UNRESTRICTED GLOBAL NOTE</w:t>
      </w:r>
    </w:p>
    <w:p>
      <w:pPr>
        <w:spacing w:after="0" w:line="62" w:lineRule="exact"/>
        <w:rPr>
          <w:rFonts w:ascii="Arial" w:cs="Arial" w:eastAsia="Arial" w:hAnsi="Arial"/>
          <w:sz w:val="18"/>
          <w:szCs w:val="18"/>
          <w:color w:val="auto"/>
        </w:rPr>
      </w:pPr>
    </w:p>
    <w:p>
      <w:pPr>
        <w:ind w:left="920" w:right="140" w:firstLine="421"/>
        <w:spacing w:after="0" w:line="271" w:lineRule="auto"/>
        <w:tabs>
          <w:tab w:leader="none" w:pos="1525" w:val="left"/>
        </w:tabs>
        <w:numPr>
          <w:ilvl w:val="2"/>
          <w:numId w:val="281"/>
        </w:numPr>
        <w:rPr>
          <w:rFonts w:ascii="Arial" w:cs="Arial" w:eastAsia="Arial" w:hAnsi="Arial"/>
          <w:sz w:val="17"/>
          <w:szCs w:val="17"/>
          <w:color w:val="auto"/>
        </w:rPr>
      </w:pPr>
      <w:r>
        <w:rPr>
          <w:rFonts w:ascii="Arial" w:cs="Arial" w:eastAsia="Arial" w:hAnsi="Arial"/>
          <w:sz w:val="17"/>
          <w:szCs w:val="17"/>
          <w:color w:val="auto"/>
        </w:rPr>
        <w:t>[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70" w:lineRule="exact"/>
        <w:rPr>
          <w:rFonts w:ascii="Arial" w:cs="Arial" w:eastAsia="Arial" w:hAnsi="Arial"/>
          <w:sz w:val="17"/>
          <w:szCs w:val="17"/>
          <w:color w:val="auto"/>
        </w:rPr>
      </w:pPr>
    </w:p>
    <w:p>
      <w:pPr>
        <w:ind w:left="920" w:right="440" w:firstLine="421"/>
        <w:spacing w:after="0" w:line="257" w:lineRule="auto"/>
        <w:tabs>
          <w:tab w:leader="none" w:pos="1535" w:val="left"/>
        </w:tabs>
        <w:numPr>
          <w:ilvl w:val="2"/>
          <w:numId w:val="281"/>
        </w:numPr>
        <w:rPr>
          <w:rFonts w:ascii="Arial" w:cs="Arial" w:eastAsia="Arial" w:hAnsi="Arial"/>
          <w:sz w:val="18"/>
          <w:szCs w:val="18"/>
          <w:color w:val="auto"/>
        </w:rPr>
      </w:pPr>
      <w:r>
        <w:rPr>
          <w:rFonts w:ascii="Arial" w:cs="Arial" w:eastAsia="Arial" w:hAnsi="Arial"/>
          <w:sz w:val="18"/>
          <w:szCs w:val="18"/>
          <w:color w:val="auto"/>
        </w:rPr>
        <w:t>[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184" w:name="page185"/>
    <w:bookmarkEnd w:id="184"/>
    <w:p>
      <w:pPr>
        <w:ind w:left="90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73" w:lineRule="exact"/>
        <w:rPr>
          <w:sz w:val="20"/>
          <w:szCs w:val="20"/>
          <w:color w:val="auto"/>
        </w:rPr>
      </w:pPr>
    </w:p>
    <w:p>
      <w:pPr>
        <w:ind w:left="900" w:firstLine="421"/>
        <w:spacing w:after="0" w:line="255" w:lineRule="auto"/>
        <w:tabs>
          <w:tab w:leader="none" w:pos="150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81" w:lineRule="exact"/>
        <w:rPr>
          <w:rFonts w:ascii="Arial" w:cs="Arial" w:eastAsia="Arial" w:hAnsi="Arial"/>
          <w:sz w:val="18"/>
          <w:szCs w:val="18"/>
          <w:color w:val="auto"/>
        </w:rPr>
      </w:pPr>
    </w:p>
    <w:p>
      <w:pPr>
        <w:ind w:left="900" w:right="20" w:firstLine="421"/>
        <w:spacing w:after="0" w:line="255" w:lineRule="auto"/>
        <w:tabs>
          <w:tab w:leader="none" w:pos="151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81" w:lineRule="exact"/>
        <w:rPr>
          <w:rFonts w:ascii="Arial" w:cs="Arial" w:eastAsia="Arial" w:hAnsi="Arial"/>
          <w:sz w:val="18"/>
          <w:szCs w:val="18"/>
          <w:color w:val="auto"/>
        </w:rPr>
      </w:pPr>
    </w:p>
    <w:p>
      <w:pPr>
        <w:ind w:left="-20" w:right="660" w:firstLine="921"/>
        <w:spacing w:after="0" w:line="277" w:lineRule="auto"/>
        <w:tabs>
          <w:tab w:leader="none" w:pos="108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EXCHANGE OF RESTRICTED DEFINITIVE NOTES OR BENEFICIAL INTERESTS IN RESTRICTED GLOBAL NOTES FOR RESTRICTED DEFINITIVE NOTES OR BENEFICIAL INTERESTS IN RESTRICTED GLOBAL NOTES</w:t>
      </w:r>
    </w:p>
    <w:p>
      <w:pPr>
        <w:spacing w:after="0" w:line="62" w:lineRule="exact"/>
        <w:rPr>
          <w:rFonts w:ascii="Arial" w:cs="Arial" w:eastAsia="Arial" w:hAnsi="Arial"/>
          <w:sz w:val="18"/>
          <w:szCs w:val="18"/>
          <w:color w:val="auto"/>
        </w:rPr>
      </w:pPr>
    </w:p>
    <w:p>
      <w:pPr>
        <w:ind w:left="900" w:right="60" w:firstLine="421"/>
        <w:spacing w:after="0" w:line="255" w:lineRule="auto"/>
        <w:tabs>
          <w:tab w:leader="none" w:pos="150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85" w:lineRule="exact"/>
        <w:rPr>
          <w:rFonts w:ascii="Arial" w:cs="Arial" w:eastAsia="Arial" w:hAnsi="Arial"/>
          <w:sz w:val="18"/>
          <w:szCs w:val="18"/>
          <w:color w:val="auto"/>
        </w:rPr>
      </w:pPr>
    </w:p>
    <w:p>
      <w:pPr>
        <w:ind w:left="900" w:right="140" w:firstLine="421"/>
        <w:spacing w:after="0" w:line="276" w:lineRule="auto"/>
        <w:tabs>
          <w:tab w:leader="none" w:pos="1515" w:val="left"/>
        </w:tabs>
        <w:numPr>
          <w:ilvl w:val="1"/>
          <w:numId w:val="283"/>
        </w:numPr>
        <w:rPr>
          <w:rFonts w:ascii="Arial" w:cs="Arial" w:eastAsia="Arial" w:hAnsi="Arial"/>
          <w:sz w:val="17"/>
          <w:szCs w:val="17"/>
          <w:color w:val="auto"/>
        </w:rPr>
      </w:pPr>
      <w:r>
        <w:rPr>
          <w:rFonts w:ascii="Arial" w:cs="Arial" w:eastAsia="Arial" w:hAnsi="Arial"/>
          <w:sz w:val="17"/>
          <w:szCs w:val="17"/>
          <w:color w:val="auto"/>
        </w:rPr>
        <w:t>[ ] CHECK IF EXCHANGE IS FROM RESTRICTED DEFINITIVE NOTE TO BENEFICIAL INTEREST IN A RESTRICTED GLOBAL NOTE. In connection with the Exchange of the Owner’s Restricted Definitive Note for a beneficial interest in the [CHECK ONE] [ ] 144A Global Note [ ]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60" w:top="274" w:right="259" w:bottom="1440" w:gutter="0" w:footer="0" w:header="0"/>
        </w:sectPr>
      </w:pPr>
    </w:p>
    <w:bookmarkStart w:id="185" w:name="page186"/>
    <w:bookmarkEnd w:id="185"/>
    <w:p>
      <w:pPr>
        <w:ind w:left="9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Issuer and are dated .</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8001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40"/>
          </w:cols>
          <w:pgMar w:left="240" w:top="274" w:right="4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dated as of , among (the “</w:t>
      </w:r>
      <w:r>
        <w:rPr>
          <w:rFonts w:ascii="Arial" w:cs="Arial" w:eastAsia="Arial" w:hAnsi="Arial"/>
          <w:sz w:val="18"/>
          <w:szCs w:val="18"/>
          <w:u w:val="single" w:color="auto"/>
          <w:color w:val="auto"/>
        </w:rPr>
        <w:t>Guaranteeing Subsidiary</w:t>
      </w:r>
      <w:r>
        <w:rPr>
          <w:rFonts w:ascii="Arial" w:cs="Arial" w:eastAsia="Arial" w:hAnsi="Arial"/>
          <w:sz w:val="18"/>
          <w:szCs w:val="18"/>
          <w:color w:val="auto"/>
        </w:rPr>
        <w:t>”), a subsidiary of Freescale Semiconductor Holdings III, Ltd., a Bermuda exempted limited liability company, Freescale Semiconductor,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The Bank of New York, Mellon Trust Company, N.A.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WHEREAS, each of Freescale Semiconductor, Inc. and the Guarantors (as defined in the Indenture referred to below) has heretofore executed and delivered to the Trustee an Amended and Restated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dated as of [•], providing for the issuance of an unlimited aggregate principal amount of 5.000% Senior Secured Notes due 2021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Arial" w:cs="Arial" w:eastAsia="Arial" w:hAnsi="Arial"/>
          <w:sz w:val="18"/>
          <w:szCs w:val="18"/>
          <w:u w:val="single" w:color="auto"/>
          <w:color w:val="auto"/>
        </w:rPr>
        <w:t>Guarantee</w:t>
      </w:r>
      <w:r>
        <w:rPr>
          <w:rFonts w:ascii="Arial" w:cs="Arial" w:eastAsia="Arial" w:hAnsi="Arial"/>
          <w:sz w:val="18"/>
          <w:szCs w:val="18"/>
          <w:color w:val="auto"/>
        </w:rPr>
        <w:t>”); and</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960" w:firstLine="913"/>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62" w:lineRule="exact"/>
        <w:rPr>
          <w:sz w:val="20"/>
          <w:szCs w:val="20"/>
          <w:color w:val="auto"/>
        </w:rPr>
      </w:pPr>
    </w:p>
    <w:p>
      <w:pPr>
        <w:ind w:left="1100" w:hanging="179"/>
        <w:spacing w:after="0"/>
        <w:tabs>
          <w:tab w:leader="none" w:pos="11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 Indenture.</w:t>
      </w:r>
    </w:p>
    <w:p>
      <w:pPr>
        <w:spacing w:after="0" w:line="117" w:lineRule="exact"/>
        <w:rPr>
          <w:rFonts w:ascii="Arial" w:cs="Arial" w:eastAsia="Arial" w:hAnsi="Arial"/>
          <w:sz w:val="18"/>
          <w:szCs w:val="18"/>
          <w:color w:val="auto"/>
        </w:rPr>
      </w:pPr>
    </w:p>
    <w:p>
      <w:pPr>
        <w:ind w:left="1100" w:hanging="179"/>
        <w:spacing w:after="0"/>
        <w:tabs>
          <w:tab w:leader="none" w:pos="11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The Guaranteeing Subsidiary hereby agrees as follows:</w:t>
      </w:r>
    </w:p>
    <w:p>
      <w:pPr>
        <w:spacing w:after="0" w:line="117" w:lineRule="exact"/>
        <w:rPr>
          <w:sz w:val="20"/>
          <w:szCs w:val="20"/>
          <w:color w:val="auto"/>
        </w:rPr>
      </w:pPr>
    </w:p>
    <w:p>
      <w:pPr>
        <w:ind w:right="160" w:firstLine="921"/>
        <w:spacing w:after="0" w:line="312" w:lineRule="auto"/>
        <w:tabs>
          <w:tab w:leader="none" w:pos="1158"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Along with all other Guarantors named in the Indenture (including pursuant to any supplemental indentures), to jointly and severally unconditionally guarantee to each Holder of a Note authenticated and delivered by the Trustee and to the Trustee and its successors and assigns, irrespective of the validity and enforceability of the Indenture, the Notes, the Notes Collateral Documents or the obligations of the Issuer hereunder or thereunder, that:</w:t>
      </w:r>
    </w:p>
    <w:p>
      <w:pPr>
        <w:spacing w:after="0" w:line="38" w:lineRule="exact"/>
        <w:rPr>
          <w:rFonts w:ascii="Arial" w:cs="Arial" w:eastAsia="Arial" w:hAnsi="Arial"/>
          <w:sz w:val="16"/>
          <w:szCs w:val="16"/>
          <w:color w:val="auto"/>
        </w:rPr>
      </w:pPr>
    </w:p>
    <w:p>
      <w:pPr>
        <w:ind w:left="460" w:right="20" w:firstLine="443"/>
        <w:spacing w:after="0" w:line="286" w:lineRule="auto"/>
        <w:tabs>
          <w:tab w:leader="none" w:pos="111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principal of and interest and premium, if any, on the Notes shall be promptly paid in full when due, whether at maturity, by acceleration, redemption or otherwise, and interest on the overdue principal of and interest on the Notes, if any, if lawful, and all other obligations of the Issuer to the Holders or the Trustee thereunder shall be promptly paid in full or performed, all in accordance with the terms thereof;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187" w:name="page188"/>
    <w:bookmarkEnd w:id="187"/>
    <w:p>
      <w:pPr>
        <w:ind w:left="360" w:firstLine="443"/>
        <w:spacing w:after="0" w:line="302" w:lineRule="auto"/>
        <w:tabs>
          <w:tab w:leader="none" w:pos="1063" w:val="left"/>
        </w:tabs>
        <w:numPr>
          <w:ilvl w:val="0"/>
          <w:numId w:val="2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and the Guaranteeing Subsidiary shall be jointly and severally obligated to pay the same immediately. This is a guarantee of payment and not a guarantee of collection.</w:t>
      </w:r>
    </w:p>
    <w:p>
      <w:pPr>
        <w:spacing w:after="0" w:line="46" w:lineRule="exact"/>
        <w:rPr>
          <w:rFonts w:ascii="Arial" w:cs="Arial" w:eastAsia="Arial" w:hAnsi="Arial"/>
          <w:sz w:val="16"/>
          <w:szCs w:val="16"/>
          <w:color w:val="auto"/>
        </w:rPr>
      </w:pPr>
    </w:p>
    <w:p>
      <w:pPr>
        <w:ind w:left="-100" w:right="20" w:firstLine="921"/>
        <w:spacing w:after="0" w:line="259" w:lineRule="auto"/>
        <w:tabs>
          <w:tab w:leader="none" w:pos="106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 or any other Guarantor, any action to enforce the same or any other circumstance which might otherwise constitute a legal or equitable discharge or defense of a guarantor.</w:t>
      </w:r>
    </w:p>
    <w:p>
      <w:pPr>
        <w:spacing w:after="0" w:line="78" w:lineRule="exact"/>
        <w:rPr>
          <w:rFonts w:ascii="Arial" w:cs="Arial" w:eastAsia="Arial" w:hAnsi="Arial"/>
          <w:sz w:val="18"/>
          <w:szCs w:val="18"/>
          <w:color w:val="auto"/>
        </w:rPr>
      </w:pPr>
    </w:p>
    <w:p>
      <w:pPr>
        <w:ind w:left="-100" w:right="580" w:firstLine="921"/>
        <w:spacing w:after="0" w:line="342" w:lineRule="auto"/>
        <w:tabs>
          <w:tab w:leader="none" w:pos="105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Guaranteeing Subsidiary hereby waives: diligence, presentment, demand of payment, filing of claims with a court in the event of insolvency or bankruptcy of the Issuer, any right to require a proceeding first against the Issuer, protest, notice and all demands whatsoever.</w:t>
      </w:r>
    </w:p>
    <w:p>
      <w:pPr>
        <w:spacing w:after="0" w:line="15" w:lineRule="exact"/>
        <w:rPr>
          <w:rFonts w:ascii="Arial" w:cs="Arial" w:eastAsia="Arial" w:hAnsi="Arial"/>
          <w:sz w:val="16"/>
          <w:szCs w:val="16"/>
          <w:color w:val="auto"/>
        </w:rPr>
      </w:pPr>
    </w:p>
    <w:p>
      <w:pPr>
        <w:ind w:left="-100" w:right="240" w:firstLine="921"/>
        <w:spacing w:after="0" w:line="297" w:lineRule="auto"/>
        <w:tabs>
          <w:tab w:leader="none" w:pos="106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This Guarantee shall not be discharged except by complete performance of the obligations contained in the Notes, the Indenture and this Supplemental Indenture. The Guaranteeing Subsidiary accepts all obligations applicable to a Guarantor under the Indenture, including Article X and, if applicable, Article XI of the Indenture (which is deemed incorporated in this Supplemental Indenture and applicable to this Guarantee) and, as applicable, Section 13.16 of the Indenture. The Guaranteeing Subsidiary acknowledges that by executing this Supplemental Indenture, it will become a Subsidiary Guarantor under the Indenture and subject to all the terms and conditions applicable to Subsidiary Guarantors contained therein.</w:t>
      </w:r>
    </w:p>
    <w:p>
      <w:pPr>
        <w:spacing w:after="0" w:line="50" w:lineRule="exact"/>
        <w:rPr>
          <w:rFonts w:ascii="Arial" w:cs="Arial" w:eastAsia="Arial" w:hAnsi="Arial"/>
          <w:sz w:val="16"/>
          <w:szCs w:val="16"/>
          <w:color w:val="auto"/>
        </w:rPr>
      </w:pPr>
    </w:p>
    <w:p>
      <w:pPr>
        <w:ind w:left="-100" w:firstLine="921"/>
        <w:spacing w:after="0" w:line="286" w:lineRule="auto"/>
        <w:tabs>
          <w:tab w:leader="none" w:pos="105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If any Holder or the Trustee is required by any court or otherwise to return to the Issuer, the Guarantors (including the Guaranteeing Subsidiary),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57" w:lineRule="exact"/>
        <w:rPr>
          <w:rFonts w:ascii="Arial" w:cs="Arial" w:eastAsia="Arial" w:hAnsi="Arial"/>
          <w:sz w:val="17"/>
          <w:szCs w:val="17"/>
          <w:color w:val="auto"/>
        </w:rPr>
      </w:pPr>
    </w:p>
    <w:p>
      <w:pPr>
        <w:ind w:left="-100" w:right="740" w:firstLine="921"/>
        <w:spacing w:after="0" w:line="277" w:lineRule="auto"/>
        <w:tabs>
          <w:tab w:leader="none" w:pos="1038"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Guaranteeing Subsidiary shall not be entitled to any right of subrogation in relation to the Holders in respect of any obligations guaranteed hereby until payment in full of all obligations guaranteed hereby.</w:t>
      </w:r>
    </w:p>
    <w:p>
      <w:pPr>
        <w:spacing w:after="0" w:line="62" w:lineRule="exact"/>
        <w:rPr>
          <w:rFonts w:ascii="Arial" w:cs="Arial" w:eastAsia="Arial" w:hAnsi="Arial"/>
          <w:sz w:val="18"/>
          <w:szCs w:val="18"/>
          <w:color w:val="auto"/>
        </w:rPr>
      </w:pPr>
    </w:p>
    <w:p>
      <w:pPr>
        <w:ind w:left="-100" w:right="100" w:firstLine="921"/>
        <w:spacing w:after="0" w:line="257" w:lineRule="auto"/>
        <w:tabs>
          <w:tab w:leader="none" w:pos="1068"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As between the Guaranteeing Subsidiary, on the one hand, and the Holders and the Trustee, on the other hand, (x) the maturity of the obligations guaranteed hereby may be accelerated as provided in Article 6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Guaranteeing Subsidiary for the purpose of this Guarantee.</w:t>
      </w:r>
    </w:p>
    <w:p>
      <w:pPr>
        <w:spacing w:after="0" w:line="80" w:lineRule="exact"/>
        <w:rPr>
          <w:rFonts w:ascii="Arial" w:cs="Arial" w:eastAsia="Arial" w:hAnsi="Arial"/>
          <w:sz w:val="18"/>
          <w:szCs w:val="18"/>
          <w:color w:val="auto"/>
        </w:rPr>
      </w:pPr>
    </w:p>
    <w:p>
      <w:pPr>
        <w:ind w:left="-100" w:right="200" w:firstLine="921"/>
        <w:spacing w:after="0" w:line="277" w:lineRule="auto"/>
        <w:tabs>
          <w:tab w:leader="none" w:pos="1068"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Guaranteeing Subsidiary shall have the right to seek contribution from any non-paying Guarantor so long as the exercise of such right does not impair the rights of the Holders under this Guarantee.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40"/>
          </w:cols>
          <w:pgMar w:left="340" w:top="274" w:right="319" w:bottom="1440" w:gutter="0" w:footer="0" w:header="0"/>
        </w:sectPr>
      </w:pPr>
    </w:p>
    <w:bookmarkStart w:id="188" w:name="page189"/>
    <w:bookmarkEnd w:id="188"/>
    <w:p>
      <w:pPr>
        <w:ind w:left="-40" w:right="20" w:firstLine="921"/>
        <w:spacing w:after="0" w:line="257" w:lineRule="auto"/>
        <w:tabs>
          <w:tab w:leader="none" w:pos="1088"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Section 10.02 of the Indenture, after giving effect to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10 of the Indenture, this new Guarantee shall be limited to the maximum amount permissible such that the obligations of such Guaranteeing Subsidiary under this Guarantee will not constitute a fraudulent transfer or conveyance.</w:t>
      </w:r>
    </w:p>
    <w:p>
      <w:pPr>
        <w:spacing w:after="0" w:line="80" w:lineRule="exact"/>
        <w:rPr>
          <w:rFonts w:ascii="Arial" w:cs="Arial" w:eastAsia="Arial" w:hAnsi="Arial"/>
          <w:sz w:val="18"/>
          <w:szCs w:val="18"/>
          <w:color w:val="auto"/>
        </w:rPr>
      </w:pPr>
    </w:p>
    <w:p>
      <w:pPr>
        <w:ind w:left="-40" w:right="60" w:firstLine="921"/>
        <w:spacing w:after="0" w:line="291" w:lineRule="auto"/>
        <w:tabs>
          <w:tab w:leader="none" w:pos="108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This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 reduced, restored or returned, the Note shall, to the fullest extent permitted by law, be reinstated and deemed reduced only by such amount paid and not so rescinded, reduced, restored or returned.</w:t>
      </w:r>
    </w:p>
    <w:p>
      <w:pPr>
        <w:spacing w:after="0" w:line="59" w:lineRule="exact"/>
        <w:rPr>
          <w:rFonts w:ascii="Arial" w:cs="Arial" w:eastAsia="Arial" w:hAnsi="Arial"/>
          <w:sz w:val="16"/>
          <w:szCs w:val="16"/>
          <w:color w:val="auto"/>
        </w:rPr>
      </w:pPr>
    </w:p>
    <w:p>
      <w:pPr>
        <w:ind w:left="-40" w:right="300" w:firstLine="921"/>
        <w:spacing w:after="0" w:line="277" w:lineRule="auto"/>
        <w:tabs>
          <w:tab w:leader="none" w:pos="112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case any provision of this Guarantee shall be invalid, illegal or unenforceable, the validity, legality, and enforceability of the remaining provisions shall not in any way be affected or impaired thereby.</w:t>
      </w:r>
    </w:p>
    <w:p>
      <w:pPr>
        <w:spacing w:after="0" w:line="62" w:lineRule="exact"/>
        <w:rPr>
          <w:rFonts w:ascii="Arial" w:cs="Arial" w:eastAsia="Arial" w:hAnsi="Arial"/>
          <w:sz w:val="18"/>
          <w:szCs w:val="18"/>
          <w:color w:val="auto"/>
        </w:rPr>
      </w:pPr>
    </w:p>
    <w:p>
      <w:pPr>
        <w:ind w:left="-40" w:firstLine="921"/>
        <w:spacing w:after="0" w:line="312" w:lineRule="auto"/>
        <w:tabs>
          <w:tab w:leader="none" w:pos="108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[This Guarantee shall be a secured senior obligation of such Guaranteeing Subsidiary, ranking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in right of payment with any other future First Lien Obligations and Senior Indebtedness of the Guaranteeing Subsidiary, if any.] [This Guarantee shall be an unsecured senior obligation of such Guaranteeing Subsidiary, ranking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in right of payment with any other future Senior Indebtedness of the Guaranteeing Subsidiary, if any.]</w:t>
      </w:r>
    </w:p>
    <w:p>
      <w:pPr>
        <w:spacing w:after="0" w:line="38" w:lineRule="exact"/>
        <w:rPr>
          <w:rFonts w:ascii="Arial" w:cs="Arial" w:eastAsia="Arial" w:hAnsi="Arial"/>
          <w:sz w:val="16"/>
          <w:szCs w:val="16"/>
          <w:color w:val="auto"/>
        </w:rPr>
      </w:pPr>
    </w:p>
    <w:p>
      <w:pPr>
        <w:ind w:left="-40" w:right="20" w:firstLine="921"/>
        <w:spacing w:after="0" w:line="277" w:lineRule="auto"/>
        <w:tabs>
          <w:tab w:leader="none" w:pos="117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payment to be made by the Guaranteeing Subsidiary in respect of this Guarantee shall be made without set-off, counterclaim, reduction or diminution of any kind or nature.</w:t>
      </w:r>
    </w:p>
    <w:p>
      <w:pPr>
        <w:spacing w:after="0" w:line="62" w:lineRule="exact"/>
        <w:rPr>
          <w:sz w:val="20"/>
          <w:szCs w:val="20"/>
          <w:color w:val="auto"/>
        </w:rPr>
      </w:pPr>
    </w:p>
    <w:p>
      <w:pPr>
        <w:ind w:left="-40" w:right="460" w:firstLine="921"/>
        <w:spacing w:after="0" w:line="277" w:lineRule="auto"/>
        <w:tabs>
          <w:tab w:leader="none" w:pos="1053"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The Guaranteeing Subsidiary agrees that the Guarantee shall remain in full force and effect notwithstanding the absence of the endorsement of any notation of such Guarantee on the Notes.</w:t>
      </w:r>
    </w:p>
    <w:p>
      <w:pPr>
        <w:spacing w:after="0" w:line="62" w:lineRule="exact"/>
        <w:rPr>
          <w:rFonts w:ascii="Arial" w:cs="Arial" w:eastAsia="Arial" w:hAnsi="Arial"/>
          <w:sz w:val="18"/>
          <w:szCs w:val="18"/>
          <w:color w:val="auto"/>
        </w:rPr>
      </w:pPr>
    </w:p>
    <w:p>
      <w:pPr>
        <w:ind w:left="1060" w:hanging="179"/>
        <w:spacing w:after="0"/>
        <w:tabs>
          <w:tab w:leader="none" w:pos="106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Merger, Consolidation, Amalgamation or Sale of All or Substantially All Assets</w:t>
      </w:r>
      <w:r>
        <w:rPr>
          <w:rFonts w:ascii="Arial" w:cs="Arial" w:eastAsia="Arial" w:hAnsi="Arial"/>
          <w:sz w:val="18"/>
          <w:szCs w:val="18"/>
          <w:color w:val="auto"/>
        </w:rPr>
        <w:t>.</w:t>
      </w:r>
    </w:p>
    <w:p>
      <w:pPr>
        <w:spacing w:after="0" w:line="117" w:lineRule="exact"/>
        <w:rPr>
          <w:sz w:val="20"/>
          <w:szCs w:val="20"/>
          <w:color w:val="auto"/>
        </w:rPr>
      </w:pPr>
    </w:p>
    <w:p>
      <w:pPr>
        <w:ind w:left="-40" w:right="280" w:firstLine="921"/>
        <w:spacing w:after="0" w:line="286" w:lineRule="auto"/>
        <w:tabs>
          <w:tab w:leader="none" w:pos="1118" w:val="left"/>
        </w:tabs>
        <w:numPr>
          <w:ilvl w:val="1"/>
          <w:numId w:val="291"/>
        </w:numPr>
        <w:rPr>
          <w:rFonts w:ascii="Arial" w:cs="Arial" w:eastAsia="Arial" w:hAnsi="Arial"/>
          <w:sz w:val="17"/>
          <w:szCs w:val="17"/>
          <w:color w:val="auto"/>
        </w:rPr>
      </w:pPr>
      <w:r>
        <w:rPr>
          <w:rFonts w:ascii="Arial" w:cs="Arial" w:eastAsia="Arial" w:hAnsi="Arial"/>
          <w:sz w:val="17"/>
          <w:szCs w:val="17"/>
          <w:color w:val="auto"/>
        </w:rPr>
        <w:t>Except as otherwise provided in Section 5.01(c) of the Indenture, the Guaranteeing Subsidiary may not consolidate, amalgamate or merge with or into or wind up into (whether or not the Issuer or Guaranteeing Subsidiary is the surviving corporation), or sell, assign, transfer, lease, convey or otherwise dispose of all or substantially all of its properties or assets, in one or more related transactions, to any Person unless:</w:t>
      </w:r>
    </w:p>
    <w:p>
      <w:pPr>
        <w:spacing w:after="0" w:line="57" w:lineRule="exact"/>
        <w:rPr>
          <w:rFonts w:ascii="Arial" w:cs="Arial" w:eastAsia="Arial" w:hAnsi="Arial"/>
          <w:sz w:val="17"/>
          <w:szCs w:val="17"/>
          <w:color w:val="auto"/>
        </w:rPr>
      </w:pPr>
    </w:p>
    <w:p>
      <w:pPr>
        <w:ind w:left="420" w:right="40" w:firstLine="443"/>
        <w:spacing w:after="0" w:line="257" w:lineRule="auto"/>
        <w:tabs>
          <w:tab w:leader="none" w:pos="107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the Guaranteeing Subsidiary is the surviving corporation or the Person formed by or surviving any such consolidation, amalgamation or merger (if other than the Guaranteeing Subsidiary) or to which such sale, assignment, transfer, lease, conveyance or other disposition will have been made is a corporation organized or existing under the laws of the jurisdiction of organization of the Guaranteeing Subsidiary, as the case may be, or the laws of the United States, any state thereof, the District of Columbia, or any territory thereof (the Guaranteeing Subsidiary or such Person, as the case may be, being herein called the “</w:t>
      </w:r>
      <w:r>
        <w:rPr>
          <w:rFonts w:ascii="Arial" w:cs="Arial" w:eastAsia="Arial" w:hAnsi="Arial"/>
          <w:sz w:val="18"/>
          <w:szCs w:val="18"/>
          <w:u w:val="single" w:color="auto"/>
          <w:color w:val="auto"/>
        </w:rPr>
        <w:t>Successor Person</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340"/>
          </w:cols>
          <w:pgMar w:left="280" w:top="274" w:right="279" w:bottom="1440" w:gutter="0" w:footer="0" w:header="0"/>
        </w:sectPr>
      </w:pPr>
    </w:p>
    <w:bookmarkStart w:id="189" w:name="page190"/>
    <w:bookmarkEnd w:id="189"/>
    <w:p>
      <w:pPr>
        <w:ind w:left="460" w:right="60" w:firstLine="443"/>
        <w:spacing w:after="0" w:line="271" w:lineRule="auto"/>
        <w:tabs>
          <w:tab w:leader="none" w:pos="1183" w:val="left"/>
        </w:tabs>
        <w:numPr>
          <w:ilvl w:val="0"/>
          <w:numId w:val="2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Successor Person, if other than the Guaranteeing Subsidiary, expressly assumes all the obligations of the Guaranteeing Subsidiary under the Indenture and the Guaranteeing Subsidiary’s related Guarantee pursuant to supplemental indentures or other documents or instruments in form reasonably satisfactory to the Trustee and, if applicable, the performance of the covenants and obligations of such Guaranteeing Subsidiary under the Collateral Documents relating to the Notes and shall cause such amendments, supplements, or other instruments to be executed, filed and recorded in such jurisdictions as may be required by applicable law to preserve and protect the Lien on the Collateral owned by or transferred to the Successor Person, together with such financing statements or comparable documents as may be required to perfect any security interests in such Collateral which may be perfected by the filing of a financing statement or a similar document under the UCC or other similar statute or regulation of the relevant states or jurisdictions;</w:t>
      </w:r>
    </w:p>
    <w:p>
      <w:pPr>
        <w:spacing w:after="0" w:line="70" w:lineRule="exact"/>
        <w:rPr>
          <w:rFonts w:ascii="Arial" w:cs="Arial" w:eastAsia="Arial" w:hAnsi="Arial"/>
          <w:sz w:val="17"/>
          <w:szCs w:val="17"/>
          <w:color w:val="auto"/>
        </w:rPr>
      </w:pPr>
    </w:p>
    <w:p>
      <w:pPr>
        <w:ind w:left="1180" w:hanging="277"/>
        <w:spacing w:after="0"/>
        <w:tabs>
          <w:tab w:leader="none" w:pos="11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immediately after such transaction, no Default exists; and</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9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such consolidation, merger or transfer and such supplemental indentures, if any, comply with the Indenture; or</w:t>
      </w:r>
    </w:p>
    <w:p>
      <w:pPr>
        <w:spacing w:after="0" w:line="62" w:lineRule="exact"/>
        <w:rPr>
          <w:sz w:val="20"/>
          <w:szCs w:val="20"/>
          <w:color w:val="auto"/>
        </w:rPr>
      </w:pPr>
    </w:p>
    <w:p>
      <w:pPr>
        <w:ind w:left="1160" w:hanging="257"/>
        <w:spacing w:after="0"/>
        <w:tabs>
          <w:tab w:leader="none" w:pos="11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transaction is made in compliance with Section 4.10 of the Indenture;</w:t>
      </w:r>
    </w:p>
    <w:p>
      <w:pPr>
        <w:spacing w:after="0" w:line="117" w:lineRule="exact"/>
        <w:rPr>
          <w:rFonts w:ascii="Arial" w:cs="Arial" w:eastAsia="Arial" w:hAnsi="Arial"/>
          <w:sz w:val="18"/>
          <w:szCs w:val="18"/>
          <w:color w:val="auto"/>
        </w:rPr>
      </w:pPr>
    </w:p>
    <w:p>
      <w:pPr>
        <w:ind w:right="60" w:firstLine="921"/>
        <w:spacing w:after="0" w:line="264" w:lineRule="auto"/>
        <w:tabs>
          <w:tab w:leader="none" w:pos="116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Subject to certain limitations described in the Indenture, the Successor Person will succeed to, and be substituted for, the Guaranteeing Subsidiary under the Indenture and the Guaranteeing Subsidiary’s Guarantee. Notwithstanding the foregoing, the Guaranteeing Subsidiary may merge into or transfer all or part of its properties and assets to another Guarantor or the Issuer.</w:t>
      </w:r>
    </w:p>
    <w:p>
      <w:pPr>
        <w:spacing w:after="0" w:line="73" w:lineRule="exact"/>
        <w:rPr>
          <w:sz w:val="20"/>
          <w:szCs w:val="20"/>
          <w:color w:val="auto"/>
        </w:rPr>
      </w:pPr>
    </w:p>
    <w:p>
      <w:pPr>
        <w:ind w:left="1100" w:hanging="179"/>
        <w:spacing w:after="0"/>
        <w:tabs>
          <w:tab w:leader="none" w:pos="110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Guarantee of the Guaranteeing Subsidiary shall be automatically and unconditionally released and discharged, and no further action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Guaranteeing Subsidiary, the Issuer or the Trustee is required for the release of the Guaranteeing Subsidiary’s Guarantee, upon:</w:t>
      </w:r>
    </w:p>
    <w:p>
      <w:pPr>
        <w:spacing w:after="0" w:line="103" w:lineRule="exact"/>
        <w:rPr>
          <w:sz w:val="20"/>
          <w:szCs w:val="20"/>
          <w:color w:val="auto"/>
        </w:rPr>
      </w:pPr>
    </w:p>
    <w:p>
      <w:pPr>
        <w:ind w:firstLine="921"/>
        <w:spacing w:after="0" w:line="264" w:lineRule="auto"/>
        <w:tabs>
          <w:tab w:leader="none" w:pos="116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 any sale, exchange or transfer (by merger or otherwise) of the Capital Stock of the Guaranteeing Subsidiary (including any sale, exchange or transfer), after which the Guaranteeing Subsidiary is no longer a Restricted Subsidiary or all or substantially all the assets of the Guaranteeing Subsidiary which sale, exchange or transfer is made in compliance with the applicable provisions of the Indenture;</w:t>
      </w:r>
    </w:p>
    <w:p>
      <w:pPr>
        <w:spacing w:after="0" w:line="73" w:lineRule="exact"/>
        <w:rPr>
          <w:sz w:val="20"/>
          <w:szCs w:val="20"/>
          <w:color w:val="auto"/>
        </w:rPr>
      </w:pPr>
    </w:p>
    <w:p>
      <w:pPr>
        <w:jc w:val="both"/>
        <w:ind w:right="200" w:firstLine="921"/>
        <w:spacing w:after="0" w:line="264" w:lineRule="auto"/>
        <w:tabs>
          <w:tab w:leader="none" w:pos="119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release or discharge of the guarantee by the Guaranteeing Subsidiary under all other First Lien Obligations (including the Senior Credit Facilities and the Existing Secured Notes) or the guarantee which resulted in the creation of the Guarantee, except a discharge or release by or as a result of payment under such guarantee;</w:t>
      </w:r>
    </w:p>
    <w:p>
      <w:pPr>
        <w:spacing w:after="0" w:line="73" w:lineRule="exact"/>
        <w:rPr>
          <w:rFonts w:ascii="Arial" w:cs="Arial" w:eastAsia="Arial" w:hAnsi="Arial"/>
          <w:sz w:val="18"/>
          <w:szCs w:val="18"/>
          <w:color w:val="auto"/>
        </w:rPr>
      </w:pPr>
    </w:p>
    <w:p>
      <w:pPr>
        <w:ind w:left="1200" w:hanging="279"/>
        <w:spacing w:after="0"/>
        <w:tabs>
          <w:tab w:leader="none" w:pos="12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proper designation of the Guaranteeing Subsidiary as an Unrestricted Subsidiary;</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release of an Unrestricted Parent Guarantor of all Senior Credit Agreement Obligations;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400"/>
          </w:cols>
          <w:pgMar w:left="240" w:top="274" w:right="259" w:bottom="1440" w:gutter="0" w:footer="0" w:header="0"/>
        </w:sectPr>
      </w:pPr>
    </w:p>
    <w:bookmarkStart w:id="190" w:name="page191"/>
    <w:bookmarkEnd w:id="190"/>
    <w:p>
      <w:pPr>
        <w:ind w:right="40" w:firstLine="921"/>
        <w:spacing w:after="0" w:line="277" w:lineRule="auto"/>
        <w:tabs>
          <w:tab w:leader="none" w:pos="1188" w:val="left"/>
        </w:tabs>
        <w:numPr>
          <w:ilvl w:val="1"/>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exercising its Legal Defeasance option or Covenant Defeasance option in accordance with Article 8 of the Indenture or the Issuer’s obligations under the Indenture being discharged in accordance with the terms of the Indenture; and</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14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(2) the Guaranteeing Subsidiary delivering to the Trustee an Officer’s Certificate and an Opinion of Counsel, each stating that all conditions precedent provided for in the Indenture relating to such transaction have been complied with.</w:t>
      </w:r>
    </w:p>
    <w:p>
      <w:pPr>
        <w:spacing w:after="0" w:line="62" w:lineRule="exact"/>
        <w:rPr>
          <w:sz w:val="20"/>
          <w:szCs w:val="20"/>
          <w:color w:val="auto"/>
        </w:rPr>
      </w:pPr>
    </w:p>
    <w:p>
      <w:pPr>
        <w:ind w:right="240" w:firstLine="921"/>
        <w:spacing w:after="0" w:line="279" w:lineRule="auto"/>
        <w:tabs>
          <w:tab w:leader="none" w:pos="1093"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No Recourse Against Others</w:t>
      </w:r>
      <w:r>
        <w:rPr>
          <w:rFonts w:ascii="Arial" w:cs="Arial" w:eastAsia="Arial" w:hAnsi="Arial"/>
          <w:sz w:val="17"/>
          <w:szCs w:val="17"/>
          <w:color w:val="auto"/>
        </w:rPr>
        <w:t>. No director, officer, employee, incorporator or stockholder of the Guaranteeing Subsidiary shall have any liability for any obligations of the Issuer or the Guarantors (including the Guaranteeing Subsidiary)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63" w:lineRule="exact"/>
        <w:rPr>
          <w:rFonts w:ascii="Arial" w:cs="Arial" w:eastAsia="Arial" w:hAnsi="Arial"/>
          <w:sz w:val="17"/>
          <w:szCs w:val="17"/>
          <w:color w:val="auto"/>
        </w:rPr>
      </w:pPr>
    </w:p>
    <w:p>
      <w:pPr>
        <w:ind w:right="120" w:firstLine="921"/>
        <w:spacing w:after="0" w:line="277" w:lineRule="auto"/>
        <w:tabs>
          <w:tab w:leader="none" w:pos="1093"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w:t>
      </w:r>
    </w:p>
    <w:p>
      <w:pPr>
        <w:spacing w:after="0" w:line="62" w:lineRule="exact"/>
        <w:rPr>
          <w:rFonts w:ascii="Arial" w:cs="Arial" w:eastAsia="Arial" w:hAnsi="Arial"/>
          <w:sz w:val="18"/>
          <w:szCs w:val="18"/>
          <w:color w:val="auto"/>
        </w:rPr>
      </w:pPr>
    </w:p>
    <w:p>
      <w:pPr>
        <w:ind w:firstLine="921"/>
        <w:spacing w:after="0" w:line="277" w:lineRule="auto"/>
        <w:tabs>
          <w:tab w:leader="none" w:pos="1093"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1100" w:hanging="179"/>
        <w:spacing w:after="0"/>
        <w:tabs>
          <w:tab w:leader="none" w:pos="110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117" w:lineRule="exact"/>
        <w:rPr>
          <w:rFonts w:ascii="Arial" w:cs="Arial" w:eastAsia="Arial" w:hAnsi="Arial"/>
          <w:sz w:val="18"/>
          <w:szCs w:val="18"/>
          <w:color w:val="auto"/>
        </w:rPr>
      </w:pPr>
    </w:p>
    <w:p>
      <w:pPr>
        <w:jc w:val="both"/>
        <w:ind w:right="960" w:firstLine="921"/>
        <w:spacing w:after="0" w:line="342" w:lineRule="auto"/>
        <w:tabs>
          <w:tab w:leader="none" w:pos="1183"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w:t>
      </w:r>
    </w:p>
    <w:p>
      <w:pPr>
        <w:spacing w:after="0" w:line="15" w:lineRule="exact"/>
        <w:rPr>
          <w:rFonts w:ascii="Arial" w:cs="Arial" w:eastAsia="Arial" w:hAnsi="Arial"/>
          <w:sz w:val="16"/>
          <w:szCs w:val="16"/>
          <w:color w:val="auto"/>
        </w:rPr>
      </w:pPr>
    </w:p>
    <w:p>
      <w:pPr>
        <w:jc w:val="both"/>
        <w:ind w:right="140" w:firstLine="921"/>
        <w:spacing w:after="0" w:line="302" w:lineRule="auto"/>
        <w:tabs>
          <w:tab w:leader="none" w:pos="1176"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The Guaranteeing Subsidiary shall be subrogated to all rights of Holders of Notes against the Issuer in respect of any amounts paid by the Guaranteeing Subsidiary pursuant to the provisions of Section 2 hereof and Section 10.01 of the Indenture; provided that, if an Event of Default has occurred and is continuing, the Guaranteeing Subsidiary shall not be entitled to enforce or receive any payments arising out of, or based upon, such right of subrogation until all amounts then due and payable by the Issuer under the Indenture or the Notes shall have been paid in full.</w:t>
      </w:r>
    </w:p>
    <w:p>
      <w:pPr>
        <w:spacing w:after="0" w:line="46" w:lineRule="exact"/>
        <w:rPr>
          <w:rFonts w:ascii="Arial" w:cs="Arial" w:eastAsia="Arial" w:hAnsi="Arial"/>
          <w:sz w:val="16"/>
          <w:szCs w:val="16"/>
          <w:color w:val="auto"/>
        </w:rPr>
      </w:pPr>
    </w:p>
    <w:p>
      <w:pPr>
        <w:ind w:right="100" w:firstLine="921"/>
        <w:spacing w:after="0" w:line="312" w:lineRule="auto"/>
        <w:tabs>
          <w:tab w:leader="none" w:pos="1183"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Benefits Acknowledged</w:t>
      </w:r>
      <w:r>
        <w:rPr>
          <w:rFonts w:ascii="Arial" w:cs="Arial" w:eastAsia="Arial" w:hAnsi="Arial"/>
          <w:sz w:val="16"/>
          <w:szCs w:val="16"/>
          <w:color w:val="auto"/>
        </w:rPr>
        <w:t>. The Guaranteeing Subsidiary’s Guarantee is subject to the terms and conditions set forth in the Indenture. The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38" w:lineRule="exact"/>
        <w:rPr>
          <w:rFonts w:ascii="Arial" w:cs="Arial" w:eastAsia="Arial" w:hAnsi="Arial"/>
          <w:sz w:val="16"/>
          <w:szCs w:val="16"/>
          <w:color w:val="auto"/>
        </w:rPr>
      </w:pPr>
    </w:p>
    <w:p>
      <w:pPr>
        <w:ind w:right="400" w:firstLine="921"/>
        <w:spacing w:after="0" w:line="264" w:lineRule="auto"/>
        <w:tabs>
          <w:tab w:leader="none" w:pos="1183"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Guaranteeing Subsidiary in this Supplemental Indenture shall bind its Successors, except as otherwise provided in Section 2(k) hereof or elsewhere in this Supplemental Indenture. All agreements of the Trustee in this Supplemental Indenture shall bind its successors.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420"/>
          </w:cols>
          <w:pgMar w:left="240" w:top="274" w:right="239" w:bottom="1440" w:gutter="0" w:footer="0" w:header="0"/>
        </w:sectPr>
      </w:pPr>
    </w:p>
    <w:bookmarkStart w:id="191" w:name="page192"/>
    <w:bookmarkEnd w:id="1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-130810</wp:posOffset>
            </wp:positionV>
            <wp:extent cx="27184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FREESCALE SEMICONDUCTOR,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-130810</wp:posOffset>
            </wp:positionV>
            <wp:extent cx="2718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BANK OF NEW YORK, MELLON TRUST</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COMPANY, N.A.,</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-130810</wp:posOffset>
            </wp:positionV>
            <wp:extent cx="2718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0360"/>
          </w:cols>
          <w:pgMar w:left="1160" w:top="274" w:right="37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AGREED SECURITY PRINCIPLES</w:t>
      </w:r>
    </w:p>
    <w:p>
      <w:pPr>
        <w:spacing w:after="0" w:line="252"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Agreed Security Principles</w:t>
      </w:r>
    </w:p>
    <w:p>
      <w:pPr>
        <w:spacing w:after="0" w:line="131" w:lineRule="exact"/>
        <w:rPr>
          <w:sz w:val="20"/>
          <w:szCs w:val="20"/>
          <w:color w:val="auto"/>
        </w:rPr>
      </w:pPr>
    </w:p>
    <w:p>
      <w:pPr>
        <w:ind w:left="460" w:right="400" w:hanging="445"/>
        <w:spacing w:after="0" w:line="286"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Guarantees and Liens to be provided by the Issuers and the Guarantors will be given in accordance with certain agreed security principles (the “</w:t>
      </w:r>
      <w:r>
        <w:rPr>
          <w:rFonts w:ascii="Arial" w:cs="Arial" w:eastAsia="Arial" w:hAnsi="Arial"/>
          <w:sz w:val="17"/>
          <w:szCs w:val="17"/>
          <w:u w:val="single" w:color="auto"/>
          <w:color w:val="auto"/>
        </w:rPr>
        <w:t>Agreed Security Principles</w:t>
      </w:r>
      <w:r>
        <w:rPr>
          <w:rFonts w:ascii="Arial" w:cs="Arial" w:eastAsia="Arial" w:hAnsi="Arial"/>
          <w:sz w:val="17"/>
          <w:szCs w:val="17"/>
          <w:color w:val="auto"/>
        </w:rPr>
        <w:t>”). This Exhibit E identifies the Agreed Security Principles and addresses the manner in which the Agreed Security Principles will impact on or be determinant of the Guarantees and Liens to be taken in relation to this Indenture.</w:t>
      </w:r>
    </w:p>
    <w:p>
      <w:pPr>
        <w:spacing w:after="0" w:line="71" w:lineRule="exact"/>
        <w:rPr>
          <w:sz w:val="20"/>
          <w:szCs w:val="20"/>
          <w:color w:val="auto"/>
        </w:rPr>
      </w:pPr>
    </w:p>
    <w:p>
      <w:pPr>
        <w:ind w:left="460" w:right="140" w:hanging="445"/>
        <w:spacing w:after="0" w:line="264" w:lineRule="auto"/>
        <w:tabs>
          <w:tab w:leader="none" w:pos="440" w:val="left"/>
        </w:tabs>
        <w:rPr>
          <w:sz w:val="20"/>
          <w:szCs w:val="20"/>
          <w:color w:val="auto"/>
        </w:rPr>
      </w:pPr>
      <w:r>
        <w:rPr>
          <w:rFonts w:ascii="Arial" w:cs="Arial" w:eastAsia="Arial" w:hAnsi="Arial"/>
          <w:sz w:val="18"/>
          <w:szCs w:val="18"/>
          <w:color w:val="auto"/>
        </w:rPr>
        <w:t>1.2</w:t>
        <w:tab/>
        <w:t>The Agreed Security Principles embody a recognition by all parties that there may be certain legal, commercial and practical difficulties in obtaining effective security from the Company and each of its Restricted Subsidiaries in every jurisdiction in which the Company and its Restricted Subsidiaries are located. In particular:</w:t>
      </w:r>
    </w:p>
    <w:p>
      <w:pPr>
        <w:spacing w:after="0" w:line="87" w:lineRule="exact"/>
        <w:rPr>
          <w:sz w:val="20"/>
          <w:szCs w:val="20"/>
          <w:color w:val="auto"/>
        </w:rPr>
      </w:pPr>
    </w:p>
    <w:p>
      <w:pPr>
        <w:ind w:left="900" w:right="180" w:hanging="446"/>
        <w:spacing w:after="0" w:line="297" w:lineRule="auto"/>
        <w:tabs>
          <w:tab w:leader="none" w:pos="9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xml:space="preserve">general statutory or other legal limitations or requirements, financial assistance, corporate benefit, fraudulent preference, “thin capitalization” rules, retention of title claims and similar matters may limit the ability of the Company or any of its Restricted Subsidiaries to provide a Guarantee or Liens or may require that it be limited as to amount or otherwise, and if so the same shall be limited accordingly,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or the relevant Restricted Subsidiary shall use reasonable endeavors to overcome such obstacle. The Company will use reasonable endeavors to assist in demonstrating that adequate corporate benefit accrues to each of the Restricted Subsidiary;</w:t>
      </w:r>
    </w:p>
    <w:p>
      <w:pPr>
        <w:spacing w:after="0" w:line="63" w:lineRule="exact"/>
        <w:rPr>
          <w:rFonts w:ascii="Arial" w:cs="Arial" w:eastAsia="Arial" w:hAnsi="Arial"/>
          <w:sz w:val="16"/>
          <w:szCs w:val="16"/>
          <w:color w:val="auto"/>
        </w:rPr>
      </w:pPr>
    </w:p>
    <w:p>
      <w:pPr>
        <w:ind w:left="900" w:right="120" w:hanging="446"/>
        <w:spacing w:after="0" w:line="276" w:lineRule="auto"/>
        <w:tabs>
          <w:tab w:leader="none" w:pos="90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the Company and its Restricted Subsidiaries will not be required to give Guarantees or enter into security documents if (or to the extent) it is not within the legal capacity of the Company or its relevant Restricted Subsidiary or if the same would conflict with the fiduciary duties of their directors or contravene any legal prohibition or regulatory condition or result in, or could reasonably be expected to result in, a material risk of personal or criminal liability for any officer or director of the Company or any of the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and each of its Restricted Subsidiaries shall use reasonable endeavors to overcome any such obstacle;</w:t>
      </w:r>
    </w:p>
    <w:p>
      <w:pPr>
        <w:spacing w:after="0" w:line="77" w:lineRule="exact"/>
        <w:rPr>
          <w:rFonts w:ascii="Arial" w:cs="Arial" w:eastAsia="Arial" w:hAnsi="Arial"/>
          <w:sz w:val="17"/>
          <w:szCs w:val="17"/>
          <w:color w:val="auto"/>
        </w:rPr>
      </w:pPr>
    </w:p>
    <w:p>
      <w:pPr>
        <w:ind w:left="900" w:right="580" w:hanging="446"/>
        <w:spacing w:after="0" w:line="342" w:lineRule="auto"/>
        <w:tabs>
          <w:tab w:leader="none" w:pos="9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 key factor in determining whether or not security shall be taken is the applicable cost (including adverse effects on interest deductibility, registration taxes and notarial costs) which shall not be disproportionate to the benefit to the Holders of obtaining such security;</w:t>
      </w:r>
    </w:p>
    <w:p>
      <w:pPr>
        <w:spacing w:after="0" w:line="29"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where there is material incremental cost involved in creating security over all assets owned by any of the Issuers or a Guarantor in a particular category (e.g. real estate), regard shall be had to the principle stated at paragraph 1.2(c) of this Exhibit E which shall apply to the immaterial assets and, subject to the Agreed Security Principles, only the material assets in that category (e.g. real estate of material economic value) shall be subject to security;</w:t>
      </w:r>
    </w:p>
    <w:p>
      <w:pPr>
        <w:spacing w:after="0" w:line="92"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it is expressly acknowledged that it may be either impossible or impractical to create security over certain categories of assets in which event security will not be taken over such assets;</w:t>
      </w:r>
    </w:p>
    <w:p>
      <w:pPr>
        <w:spacing w:after="0" w:line="75" w:lineRule="exact"/>
        <w:rPr>
          <w:rFonts w:ascii="Arial" w:cs="Arial" w:eastAsia="Arial" w:hAnsi="Arial"/>
          <w:sz w:val="18"/>
          <w:szCs w:val="18"/>
          <w:color w:val="auto"/>
        </w:rPr>
      </w:pPr>
    </w:p>
    <w:p>
      <w:pPr>
        <w:ind w:left="900" w:right="560" w:hanging="446"/>
        <w:spacing w:after="0" w:line="342" w:lineRule="auto"/>
        <w:tabs>
          <w:tab w:leader="none" w:pos="9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any assets subject to contracts, leases, licenses or other arrangements with a third party that exist concurrently or are not prohibited by this Agreement and which (subject to override by the Uniform Commercial Code and other relevant provisions of applicable law), effectively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4" w:right="239" w:bottom="1440" w:gutter="0" w:footer="0" w:header="0"/>
        </w:sectPr>
      </w:pPr>
    </w:p>
    <w:bookmarkStart w:id="193" w:name="page194"/>
    <w:bookmarkEnd w:id="193"/>
    <w:p>
      <w:pPr>
        <w:ind w:left="912"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prevent those assets from being charged will be excluded from any relevant security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reasonable endeavors to obtain consent to creating Liens in any such assets shall be used by the Company and each of its Restricted Subsidiaries to avoid or overcome such restrictions if either Collateral Agent reasonably determines that the relevant asset is material (which endeavors shall not include the payment of any consent fees), but unless effectively prohibited by contracts, leases, licenses or other arrangements with a third party that exist concurrently or are not prohibited by this Indenture, this shall not prevent security being given over any receipt or recovery under such contract, lease or license;</w:t>
      </w:r>
    </w:p>
    <w:p>
      <w:pPr>
        <w:spacing w:after="0" w:line="99" w:lineRule="exact"/>
        <w:rPr>
          <w:sz w:val="20"/>
          <w:szCs w:val="20"/>
          <w:color w:val="auto"/>
        </w:rPr>
      </w:pPr>
    </w:p>
    <w:p>
      <w:pPr>
        <w:ind w:left="892" w:hanging="446"/>
        <w:spacing w:after="0" w:line="264" w:lineRule="auto"/>
        <w:tabs>
          <w:tab w:leader="none" w:pos="89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giving of a Guarantee, the granting of security or the perfection of the security granted will not be required if it would have a material adverse effect (as reasonably determined in good faith by management of the relevant obligor) on the ability of the relevant obligor to conduct its operations and business in the ordinary course as otherwise permitted by this Indenture;</w:t>
      </w:r>
    </w:p>
    <w:p>
      <w:pPr>
        <w:spacing w:after="0" w:line="86" w:lineRule="exact"/>
        <w:rPr>
          <w:rFonts w:ascii="Arial" w:cs="Arial" w:eastAsia="Arial" w:hAnsi="Arial"/>
          <w:sz w:val="18"/>
          <w:szCs w:val="18"/>
          <w:color w:val="auto"/>
        </w:rPr>
      </w:pPr>
    </w:p>
    <w:p>
      <w:pPr>
        <w:ind w:left="892" w:hanging="446"/>
        <w:spacing w:after="0" w:line="254" w:lineRule="auto"/>
        <w:tabs>
          <w:tab w:leader="none" w:pos="89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in the case of accounts receivable, a material adverse effect on either Issuer’s or a Guarantor’s relationship with or sales to the customer generating such receivables or material legal or commercial difficulties (as reasonably determined by management of the relevant obligor in good faith)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none of the Issuers and the Guarantors may utilize this exception unless, after giving effect thereto no less than a majority of the book value of the accounts receivable of the Company and its Subsidiaries on a consolidated basis (as measured at the end of each fiscal quarter) is subject to perfected liens,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further that any accounts receivable of the Issuers and the Guarantors excluded from Collateral by virtue of this clause (except where prohibited by law and subject to the remainder of these Agreed Security Principles) shall be subject to perfected Liens promptly if and when the corporate credit of the Company is downgraded to “B” or lower from S&amp;P and “B2” or lower from Moody’s;</w:t>
      </w:r>
    </w:p>
    <w:p>
      <w:pPr>
        <w:spacing w:after="0" w:line="97" w:lineRule="exact"/>
        <w:rPr>
          <w:rFonts w:ascii="Arial" w:cs="Arial" w:eastAsia="Arial" w:hAnsi="Arial"/>
          <w:sz w:val="18"/>
          <w:szCs w:val="18"/>
          <w:color w:val="auto"/>
        </w:rPr>
      </w:pPr>
    </w:p>
    <w:p>
      <w:pPr>
        <w:ind w:left="892" w:right="420" w:hanging="446"/>
        <w:spacing w:after="0" w:line="277" w:lineRule="auto"/>
        <w:tabs>
          <w:tab w:leader="none" w:pos="89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security will be limited so that the aggregate of notarial costs and all registration and like taxes relating to the provision of security shall not exceed an amount to be agreed. Any additional costs may be paid by the Holders at their option; and</w:t>
      </w:r>
    </w:p>
    <w:p>
      <w:pPr>
        <w:spacing w:after="0" w:line="75" w:lineRule="exact"/>
        <w:rPr>
          <w:rFonts w:ascii="Arial" w:cs="Arial" w:eastAsia="Arial" w:hAnsi="Arial"/>
          <w:sz w:val="18"/>
          <w:szCs w:val="18"/>
          <w:color w:val="auto"/>
        </w:rPr>
      </w:pPr>
    </w:p>
    <w:p>
      <w:pPr>
        <w:ind w:left="892" w:right="80" w:hanging="446"/>
        <w:spacing w:after="0" w:line="279" w:lineRule="auto"/>
        <w:tabs>
          <w:tab w:leader="none" w:pos="892" w:val="left"/>
        </w:tabs>
        <w:numPr>
          <w:ilvl w:val="1"/>
          <w:numId w:val="304"/>
        </w:numPr>
        <w:rPr>
          <w:rFonts w:ascii="Arial" w:cs="Arial" w:eastAsia="Arial" w:hAnsi="Arial"/>
          <w:sz w:val="17"/>
          <w:szCs w:val="17"/>
          <w:color w:val="auto"/>
        </w:rPr>
      </w:pPr>
      <w:r>
        <w:rPr>
          <w:rFonts w:ascii="Arial" w:cs="Arial" w:eastAsia="Arial" w:hAnsi="Arial"/>
          <w:sz w:val="17"/>
          <w:szCs w:val="17"/>
          <w:color w:val="auto"/>
        </w:rPr>
        <w:t>all security shall be given in favor of a single security trustee or collateral agent and not the secured parties individually. “Parallel debt” provisions and other similar structural options will be used where necessary and such provisions will be contained in the intercreditor agreement and not the individual security documents unless required under local law. No action will be required to be taken in relation to the guarantees or security when any lender assigns or transfers any of its participation in this Indenture to a new lender.</w:t>
      </w:r>
    </w:p>
    <w:p>
      <w:pPr>
        <w:spacing w:after="0" w:line="76" w:lineRule="exact"/>
        <w:rPr>
          <w:rFonts w:ascii="Arial" w:cs="Arial" w:eastAsia="Arial" w:hAnsi="Arial"/>
          <w:sz w:val="17"/>
          <w:szCs w:val="17"/>
          <w:color w:val="auto"/>
        </w:rPr>
      </w:pPr>
    </w:p>
    <w:p>
      <w:pPr>
        <w:ind w:left="892" w:right="260" w:hanging="446"/>
        <w:spacing w:after="0" w:line="277" w:lineRule="auto"/>
        <w:tabs>
          <w:tab w:leader="none" w:pos="89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no action to grant security shall be required to be taken in jurisdictions other than Bermuda, the Netherlands and the United States of America and no perfection action will be required in any other jurisdiction.</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Terms of security documents</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following principles will be reflected in the terms of any security document to be executed and delivered:</w:t>
      </w:r>
    </w:p>
    <w:p>
      <w:pPr>
        <w:spacing w:after="0" w:line="130" w:lineRule="exact"/>
        <w:rPr>
          <w:rFonts w:ascii="Arial" w:cs="Arial" w:eastAsia="Arial" w:hAnsi="Arial"/>
          <w:sz w:val="18"/>
          <w:szCs w:val="18"/>
          <w:color w:val="auto"/>
        </w:rPr>
      </w:pPr>
    </w:p>
    <w:p>
      <w:pPr>
        <w:ind w:left="892" w:right="180" w:hanging="446"/>
        <w:spacing w:after="0" w:line="308" w:lineRule="auto"/>
        <w:tabs>
          <w:tab w:leader="none" w:pos="892" w:val="left"/>
        </w:tabs>
        <w:numPr>
          <w:ilvl w:val="1"/>
          <w:numId w:val="305"/>
        </w:numPr>
        <w:rPr>
          <w:rFonts w:ascii="Arial" w:cs="Arial" w:eastAsia="Arial" w:hAnsi="Arial"/>
          <w:sz w:val="17"/>
          <w:szCs w:val="17"/>
          <w:color w:val="auto"/>
        </w:rPr>
      </w:pPr>
      <w:r>
        <w:rPr>
          <w:rFonts w:ascii="Arial" w:cs="Arial" w:eastAsia="Arial" w:hAnsi="Arial"/>
          <w:sz w:val="17"/>
          <w:szCs w:val="17"/>
          <w:color w:val="auto"/>
        </w:rPr>
        <w:t>subject to Permitted Liens and these Agreed Security Principles the security will be first ranking and the perfection of security (when required) and other legal formalities will be completed as soon as practicable and, in any event, within the time periods specified in the</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372"/>
          </w:cols>
          <w:pgMar w:left="248" w:top="274" w:right="279" w:bottom="1440" w:gutter="0" w:footer="0" w:header="0"/>
        </w:sectPr>
      </w:pPr>
    </w:p>
    <w:bookmarkStart w:id="194" w:name="page195"/>
    <w:bookmarkEnd w:id="194"/>
    <w:p>
      <w:pPr>
        <w:ind w:left="466"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Documents or, if earlier or to the extent no such time period is specified in the Note Documents, within the time periods specified by applicable law in order to ensure due perfection;</w:t>
      </w:r>
    </w:p>
    <w:p>
      <w:pPr>
        <w:spacing w:after="0" w:line="76" w:lineRule="exact"/>
        <w:rPr>
          <w:sz w:val="20"/>
          <w:szCs w:val="20"/>
          <w:color w:val="auto"/>
        </w:rPr>
      </w:pPr>
    </w:p>
    <w:p>
      <w:pPr>
        <w:ind w:left="446" w:right="140" w:hanging="446"/>
        <w:spacing w:after="0" w:line="308" w:lineRule="auto"/>
        <w:tabs>
          <w:tab w:leader="none" w:pos="446"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security will not be enforceable until an Event of Default has occurred and notice of acceleration of the Notes has been given by the Trustee or the Notes have otherwise become due and payable prior to the scheduled maturity thereof (an “</w:t>
      </w:r>
      <w:r>
        <w:rPr>
          <w:rFonts w:ascii="Arial" w:cs="Arial" w:eastAsia="Arial" w:hAnsi="Arial"/>
          <w:sz w:val="17"/>
          <w:szCs w:val="17"/>
          <w:u w:val="single" w:color="auto"/>
          <w:color w:val="auto"/>
        </w:rPr>
        <w:t>Enforcement Event</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446" w:right="420" w:hanging="446"/>
        <w:spacing w:after="0" w:line="277" w:lineRule="auto"/>
        <w:tabs>
          <w:tab w:leader="none" w:pos="44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prior to the maturity date of the Notes, notification of any Liens over bank accounts will be given (subject to legal advice) to the banks with whom the accounts are maintained only if an Enforcement Event has occurred;</w:t>
      </w:r>
    </w:p>
    <w:p>
      <w:pPr>
        <w:spacing w:after="0" w:line="75" w:lineRule="exact"/>
        <w:rPr>
          <w:rFonts w:ascii="Arial" w:cs="Arial" w:eastAsia="Arial" w:hAnsi="Arial"/>
          <w:sz w:val="18"/>
          <w:szCs w:val="18"/>
          <w:color w:val="auto"/>
        </w:rPr>
      </w:pPr>
    </w:p>
    <w:p>
      <w:pPr>
        <w:ind w:left="446" w:right="400" w:hanging="446"/>
        <w:spacing w:after="0" w:line="277" w:lineRule="auto"/>
        <w:tabs>
          <w:tab w:leader="none" w:pos="44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notification of receivables security to debtors who are not members of the Company or its Subsidiaries will only be given if an Enforcement Event has occurred;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notification of any security interest over insurance policies will be served on any insurer of the Company’s or any Restricted Subsidiaries’ assets;</w:t>
      </w:r>
    </w:p>
    <w:p>
      <w:pPr>
        <w:spacing w:after="0" w:line="153" w:lineRule="exact"/>
        <w:rPr>
          <w:rFonts w:ascii="Arial" w:cs="Arial" w:eastAsia="Arial" w:hAnsi="Arial"/>
          <w:sz w:val="16"/>
          <w:szCs w:val="16"/>
          <w:color w:val="auto"/>
        </w:rPr>
      </w:pPr>
    </w:p>
    <w:p>
      <w:pPr>
        <w:jc w:val="both"/>
        <w:ind w:left="446" w:right="240" w:hanging="446"/>
        <w:spacing w:after="0" w:line="312" w:lineRule="auto"/>
        <w:tabs>
          <w:tab w:leader="none" w:pos="44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security documents should only operate to create security rather than to impose new commercial obligations. Accordingly, they should not contain material additional representations, undertakings or indemnities (such as in respect of insurance, information or the payment of costs) unless these are the same as or consistent with those contained in this Indenture or are necessary for the creation or perfection of the security;</w:t>
      </w:r>
    </w:p>
    <w:p>
      <w:pPr>
        <w:spacing w:after="0" w:line="52" w:lineRule="exact"/>
        <w:rPr>
          <w:rFonts w:ascii="Arial" w:cs="Arial" w:eastAsia="Arial" w:hAnsi="Arial"/>
          <w:sz w:val="16"/>
          <w:szCs w:val="16"/>
          <w:color w:val="auto"/>
        </w:rPr>
      </w:pPr>
    </w:p>
    <w:p>
      <w:pPr>
        <w:ind w:left="446" w:hanging="446"/>
        <w:spacing w:after="0" w:line="257" w:lineRule="auto"/>
        <w:tabs>
          <w:tab w:leader="none" w:pos="44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 respect of the share pledges and pledges of intra-group receivables, until an Enforcement Event has occurred, the pledgors will be permitted to retain and to exercise voting rights to any shares pledged by them in a manner which does not materially adversely affect the value of the security (taken as a whole) or the validity or enforceability of the security or cause an Event of Default to occur, and the pledgors will be permitted to receive dividends on pledged shares and payment of intra-group receivables and retain the proceeds and/or make the proceeds available to Holdings and its Subsidiaries to the extent not prohibited under this Indenture;</w:t>
      </w:r>
    </w:p>
    <w:p>
      <w:pPr>
        <w:spacing w:after="0" w:line="93" w:lineRule="exact"/>
        <w:rPr>
          <w:rFonts w:ascii="Arial" w:cs="Arial" w:eastAsia="Arial" w:hAnsi="Arial"/>
          <w:sz w:val="18"/>
          <w:szCs w:val="18"/>
          <w:color w:val="auto"/>
        </w:rPr>
      </w:pPr>
    </w:p>
    <w:p>
      <w:pPr>
        <w:ind w:left="446" w:right="340" w:hanging="446"/>
        <w:spacing w:after="0" w:line="342" w:lineRule="auto"/>
        <w:tabs>
          <w:tab w:leader="none" w:pos="44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Collateral Agents will only be able to exercise a power of attorney in any security document following the occurrence of an Enforcement Event or with respect to perfection or further assurance obligations that following request, the relevant obligor has failed to satisfy;</w:t>
      </w:r>
    </w:p>
    <w:p>
      <w:pPr>
        <w:spacing w:after="0" w:line="29" w:lineRule="exact"/>
        <w:rPr>
          <w:rFonts w:ascii="Arial" w:cs="Arial" w:eastAsia="Arial" w:hAnsi="Arial"/>
          <w:sz w:val="16"/>
          <w:szCs w:val="16"/>
          <w:color w:val="auto"/>
        </w:rPr>
      </w:pPr>
    </w:p>
    <w:p>
      <w:pPr>
        <w:ind w:left="446" w:right="20" w:hanging="446"/>
        <w:spacing w:after="0" w:line="312" w:lineRule="auto"/>
        <w:tabs>
          <w:tab w:leader="none" w:pos="44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no obligor shall be required to provide surveys on real property (unless such surveys already exist in which case there shall be no requirement that such surveys be certified to the Holders) or to remove any encumbrances on title that are reflected in any title insurance or any other existing encumbrances on real property (not including Liens securing Indebtedness of the Company or any of its Restricted Subsidiaries);</w:t>
      </w:r>
    </w:p>
    <w:p>
      <w:pPr>
        <w:spacing w:after="0" w:line="52" w:lineRule="exact"/>
        <w:rPr>
          <w:rFonts w:ascii="Arial" w:cs="Arial" w:eastAsia="Arial" w:hAnsi="Arial"/>
          <w:sz w:val="16"/>
          <w:szCs w:val="16"/>
          <w:color w:val="auto"/>
        </w:rPr>
      </w:pPr>
    </w:p>
    <w:p>
      <w:pPr>
        <w:jc w:val="both"/>
        <w:ind w:left="446" w:right="520" w:hanging="446"/>
        <w:spacing w:after="0" w:line="286" w:lineRule="auto"/>
        <w:tabs>
          <w:tab w:leader="none" w:pos="446" w:val="left"/>
        </w:tabs>
        <w:numPr>
          <w:ilvl w:val="0"/>
          <w:numId w:val="306"/>
        </w:numPr>
        <w:rPr>
          <w:rFonts w:ascii="Arial" w:cs="Arial" w:eastAsia="Arial" w:hAnsi="Arial"/>
          <w:sz w:val="17"/>
          <w:szCs w:val="17"/>
          <w:color w:val="auto"/>
        </w:rPr>
      </w:pPr>
      <w:r>
        <w:rPr>
          <w:rFonts w:ascii="Arial" w:cs="Arial" w:eastAsia="Arial" w:hAnsi="Arial"/>
          <w:sz w:val="17"/>
          <w:szCs w:val="17"/>
          <w:color w:val="auto"/>
        </w:rPr>
        <w:t>no obligor shall be required to protect any Liens in the United States prior to the occurrence of an Enforcement Event by means other than customary filings (including UCC-1s, mortgage or deed of trust filings and patent and trademark filings) and delivery of share certificates (accompanied by powers of attorney executed in blank) and any intercompany promissory notes; and</w:t>
      </w:r>
    </w:p>
    <w:p>
      <w:pPr>
        <w:spacing w:after="0" w:line="9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0926"/>
          </w:cols>
          <w:pgMar w:left="694" w:top="274" w:right="279" w:bottom="1440" w:gutter="0" w:footer="0" w:header="0"/>
        </w:sectPr>
      </w:pPr>
    </w:p>
    <w:bookmarkStart w:id="195" w:name="page196"/>
    <w:bookmarkEnd w:id="195"/>
    <w:p>
      <w:pPr>
        <w:ind w:left="900" w:right="40" w:hanging="446"/>
        <w:spacing w:after="0" w:line="259" w:lineRule="auto"/>
        <w:tabs>
          <w:tab w:leader="none" w:pos="9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such as lists of assets, will be provided if, and only to the extent, required by local law to be provided to protect or create, perfect or register the security and, to the extent so required will be provided annually (unless required to be provided by local law more frequently, but not more frequently than quarterly) and following the occurrence and during the continuance of an Event of Default, on the Collateral Agents’ reasonable request.</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German Guarantor Limitations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limitations apply to the Guarantees of the Guarantors incorporated in Germany:</w:t>
      </w:r>
    </w:p>
    <w:p>
      <w:pPr>
        <w:spacing w:after="0" w:line="131" w:lineRule="exact"/>
        <w:rPr>
          <w:sz w:val="20"/>
          <w:szCs w:val="20"/>
          <w:color w:val="auto"/>
        </w:rPr>
      </w:pPr>
    </w:p>
    <w:p>
      <w:pPr>
        <w:ind w:left="460" w:hanging="445"/>
        <w:spacing w:after="0" w:line="271" w:lineRule="auto"/>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The right to enforce the guarantee given by a Guarantor incorporated in Germany as a GmbH (a “</w:t>
      </w:r>
      <w:r>
        <w:rPr>
          <w:rFonts w:ascii="Arial" w:cs="Arial" w:eastAsia="Arial" w:hAnsi="Arial"/>
          <w:sz w:val="17"/>
          <w:szCs w:val="17"/>
          <w:i w:val="1"/>
          <w:iCs w:val="1"/>
          <w:color w:val="auto"/>
        </w:rPr>
        <w:t>German Guarantor</w:t>
      </w:r>
      <w:r>
        <w:rPr>
          <w:rFonts w:ascii="Arial" w:cs="Arial" w:eastAsia="Arial" w:hAnsi="Arial"/>
          <w:sz w:val="17"/>
          <w:szCs w:val="17"/>
          <w:color w:val="auto"/>
        </w:rPr>
        <w:t>”) shall be excluded if and to the extent that the Guarantee secures the obligations of an affiliated company (</w:t>
      </w:r>
      <w:r>
        <w:rPr>
          <w:rFonts w:ascii="Arial" w:cs="Arial" w:eastAsia="Arial" w:hAnsi="Arial"/>
          <w:sz w:val="17"/>
          <w:szCs w:val="17"/>
          <w:i w:val="1"/>
          <w:iCs w:val="1"/>
          <w:color w:val="auto"/>
        </w:rPr>
        <w:t>verbundenes Unternehmen</w:t>
      </w:r>
      <w:r>
        <w:rPr>
          <w:rFonts w:ascii="Arial" w:cs="Arial" w:eastAsia="Arial" w:hAnsi="Arial"/>
          <w:sz w:val="17"/>
          <w:szCs w:val="17"/>
          <w:color w:val="auto"/>
        </w:rPr>
        <w:t>) within the meaning of Section 15 of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of such German Guarantor (other than any of the German Guarantor’s direct or indirect subsidiaries), and if and to the extent that (x) the enforcement of the Guarantee would cause such German Guarantor’s assets (the calculation of which shall include all items set forth in section 266(2) A, B and C of the German Commercial Code (</w:t>
      </w:r>
      <w:r>
        <w:rPr>
          <w:rFonts w:ascii="Arial" w:cs="Arial" w:eastAsia="Arial" w:hAnsi="Arial"/>
          <w:sz w:val="17"/>
          <w:szCs w:val="17"/>
          <w:i w:val="1"/>
          <w:iCs w:val="1"/>
          <w:color w:val="auto"/>
        </w:rPr>
        <w:t>Handelsgesetzbuch</w:t>
      </w:r>
      <w:r>
        <w:rPr>
          <w:rFonts w:ascii="Arial" w:cs="Arial" w:eastAsia="Arial" w:hAnsi="Arial"/>
          <w:sz w:val="17"/>
          <w:szCs w:val="17"/>
          <w:color w:val="auto"/>
        </w:rPr>
        <w:t>)) less such German Guarantor’s liabilities (the calculation of which shall include all items set forth in section 266(3) B, C and D of the German Commercial Code) (the “</w:t>
      </w:r>
      <w:r>
        <w:rPr>
          <w:rFonts w:ascii="Arial" w:cs="Arial" w:eastAsia="Arial" w:hAnsi="Arial"/>
          <w:sz w:val="17"/>
          <w:szCs w:val="17"/>
          <w:i w:val="1"/>
          <w:iCs w:val="1"/>
          <w:color w:val="auto"/>
        </w:rPr>
        <w:t>Net Assets</w:t>
      </w:r>
      <w:r>
        <w:rPr>
          <w:rFonts w:ascii="Arial" w:cs="Arial" w:eastAsia="Arial" w:hAnsi="Arial"/>
          <w:sz w:val="17"/>
          <w:szCs w:val="17"/>
          <w:color w:val="auto"/>
        </w:rPr>
        <w:t>”) being less than its registered share capital (</w:t>
      </w:r>
      <w:r>
        <w:rPr>
          <w:rFonts w:ascii="Arial" w:cs="Arial" w:eastAsia="Arial" w:hAnsi="Arial"/>
          <w:sz w:val="17"/>
          <w:szCs w:val="17"/>
          <w:i w:val="1"/>
          <w:iCs w:val="1"/>
          <w:color w:val="auto"/>
        </w:rPr>
        <w:t>Stammkapital</w:t>
      </w:r>
      <w:r>
        <w:rPr>
          <w:rFonts w:ascii="Arial" w:cs="Arial" w:eastAsia="Arial" w:hAnsi="Arial"/>
          <w:sz w:val="17"/>
          <w:szCs w:val="17"/>
          <w:color w:val="auto"/>
        </w:rPr>
        <w:t>) (</w:t>
      </w:r>
      <w:r>
        <w:rPr>
          <w:rFonts w:ascii="Arial" w:cs="Arial" w:eastAsia="Arial" w:hAnsi="Arial"/>
          <w:sz w:val="17"/>
          <w:szCs w:val="17"/>
          <w:i w:val="1"/>
          <w:iCs w:val="1"/>
          <w:color w:val="auto"/>
        </w:rPr>
        <w:t>Begründung einer Unterbilanz</w:t>
      </w:r>
      <w:r>
        <w:rPr>
          <w:rFonts w:ascii="Arial" w:cs="Arial" w:eastAsia="Arial" w:hAnsi="Arial"/>
          <w:sz w:val="17"/>
          <w:szCs w:val="17"/>
          <w:color w:val="auto"/>
        </w:rPr>
        <w:t>) or (y) (if such German Guarantor’s Net Assets are already less than its registered share capital) causing such amount to be further reduced (</w:t>
      </w:r>
      <w:r>
        <w:rPr>
          <w:rFonts w:ascii="Arial" w:cs="Arial" w:eastAsia="Arial" w:hAnsi="Arial"/>
          <w:sz w:val="17"/>
          <w:szCs w:val="17"/>
          <w:i w:val="1"/>
          <w:iCs w:val="1"/>
          <w:color w:val="auto"/>
        </w:rPr>
        <w:t>Vertiefung einer Unterbilanz</w:t>
      </w:r>
      <w:r>
        <w:rPr>
          <w:rFonts w:ascii="Arial" w:cs="Arial" w:eastAsia="Arial" w:hAnsi="Arial"/>
          <w:sz w:val="17"/>
          <w:szCs w:val="17"/>
          <w:color w:val="auto"/>
        </w:rPr>
        <w:t>).</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 the purposes of such calculation the following balance sheet items shall be adjusted as follows:</w:t>
      </w:r>
    </w:p>
    <w:p>
      <w:pPr>
        <w:spacing w:after="0" w:line="131" w:lineRule="exact"/>
        <w:rPr>
          <w:sz w:val="20"/>
          <w:szCs w:val="20"/>
          <w:color w:val="auto"/>
        </w:rPr>
      </w:pPr>
    </w:p>
    <w:p>
      <w:pPr>
        <w:ind w:left="900" w:right="120" w:hanging="446"/>
        <w:spacing w:after="0" w:line="264" w:lineRule="auto"/>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amount of the increase of the relevant German Guarantor’s registered share capital out of retained earnings (</w:t>
      </w:r>
      <w:r>
        <w:rPr>
          <w:rFonts w:ascii="Arial" w:cs="Arial" w:eastAsia="Arial" w:hAnsi="Arial"/>
          <w:sz w:val="18"/>
          <w:szCs w:val="18"/>
          <w:i w:val="1"/>
          <w:iCs w:val="1"/>
          <w:color w:val="auto"/>
        </w:rPr>
        <w:t>Kapitalerhöhung aus</w:t>
      </w:r>
      <w:r>
        <w:rPr>
          <w:rFonts w:ascii="Arial" w:cs="Arial" w:eastAsia="Arial" w:hAnsi="Arial"/>
          <w:sz w:val="18"/>
          <w:szCs w:val="18"/>
          <w:color w:val="auto"/>
        </w:rPr>
        <w:t xml:space="preserve"> </w:t>
      </w:r>
      <w:r>
        <w:rPr>
          <w:rFonts w:ascii="Arial" w:cs="Arial" w:eastAsia="Arial" w:hAnsi="Arial"/>
          <w:sz w:val="18"/>
          <w:szCs w:val="18"/>
          <w:i w:val="1"/>
          <w:iCs w:val="1"/>
          <w:color w:val="auto"/>
        </w:rPr>
        <w:t>Gesellschaftsmitteln</w:t>
      </w:r>
      <w:r>
        <w:rPr>
          <w:rFonts w:ascii="Arial" w:cs="Arial" w:eastAsia="Arial" w:hAnsi="Arial"/>
          <w:sz w:val="18"/>
          <w:szCs w:val="18"/>
          <w:color w:val="auto"/>
        </w:rPr>
        <w:t>) after the date of this Agreement that has been effected without the prior written consent of the Trustee (acting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shall be deducted from the registered share capital; and</w:t>
      </w:r>
    </w:p>
    <w:p>
      <w:pPr>
        <w:spacing w:after="0" w:line="86"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Obligations arising out of loans made to the relevant German Guarantor and other liabilities shall be disregarded if and to the extent such loans and other liabilities are subordinated;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Loans and other contractual liabilities incurred in violation of the provisions of the Indenture or the Guarantee shall be disregarded; and</w:t>
      </w:r>
    </w:p>
    <w:p>
      <w:pPr>
        <w:spacing w:after="0" w:line="142" w:lineRule="exact"/>
        <w:rPr>
          <w:rFonts w:ascii="Arial" w:cs="Arial" w:eastAsia="Arial" w:hAnsi="Arial"/>
          <w:sz w:val="17"/>
          <w:szCs w:val="17"/>
          <w:color w:val="auto"/>
        </w:rPr>
      </w:pPr>
    </w:p>
    <w:p>
      <w:pPr>
        <w:ind w:left="900" w:right="100" w:hanging="446"/>
        <w:spacing w:after="0" w:line="259" w:lineRule="auto"/>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Claims of the relevant German Guarantor against its shareholders arising out of any upstream loans permitted under the Indenture or the Guarantee shall only be taken into account (</w:t>
      </w:r>
      <w:r>
        <w:rPr>
          <w:rFonts w:ascii="Arial" w:cs="Arial" w:eastAsia="Arial" w:hAnsi="Arial"/>
          <w:sz w:val="18"/>
          <w:szCs w:val="18"/>
          <w:i w:val="1"/>
          <w:iCs w:val="1"/>
          <w:color w:val="auto"/>
        </w:rPr>
        <w:t>aktiviert</w:t>
      </w:r>
      <w:r>
        <w:rPr>
          <w:rFonts w:ascii="Arial" w:cs="Arial" w:eastAsia="Arial" w:hAnsi="Arial"/>
          <w:sz w:val="18"/>
          <w:szCs w:val="18"/>
          <w:color w:val="auto"/>
        </w:rPr>
        <w:t>) if and to the extent this is permitted pursuant to the jurisprudence of the German Federal High Court (</w:t>
      </w:r>
      <w:r>
        <w:rPr>
          <w:rFonts w:ascii="Arial" w:cs="Arial" w:eastAsia="Arial" w:hAnsi="Arial"/>
          <w:sz w:val="18"/>
          <w:szCs w:val="18"/>
          <w:i w:val="1"/>
          <w:iCs w:val="1"/>
          <w:color w:val="auto"/>
        </w:rPr>
        <w:t>Bundesgerichtshof</w:t>
      </w:r>
      <w:r>
        <w:rPr>
          <w:rFonts w:ascii="Arial" w:cs="Arial" w:eastAsia="Arial" w:hAnsi="Arial"/>
          <w:sz w:val="18"/>
          <w:szCs w:val="18"/>
          <w:color w:val="auto"/>
        </w:rPr>
        <w:t>) relating to the permissibility of loans to shareholders under Sections 30 and 31 of the German Limited Liability Companies Act (</w:t>
      </w:r>
      <w:r>
        <w:rPr>
          <w:rFonts w:ascii="Arial" w:cs="Arial" w:eastAsia="Arial" w:hAnsi="Arial"/>
          <w:sz w:val="18"/>
          <w:szCs w:val="18"/>
          <w:i w:val="1"/>
          <w:iCs w:val="1"/>
          <w:color w:val="auto"/>
        </w:rPr>
        <w:t>Gesetz betreffend die Gesellschaften mit beschränkter Haftung</w:t>
      </w:r>
      <w:r>
        <w:rPr>
          <w:rFonts w:ascii="Arial" w:cs="Arial" w:eastAsia="Arial" w:hAnsi="Arial"/>
          <w:sz w:val="18"/>
          <w:szCs w:val="18"/>
          <w:color w:val="auto"/>
        </w:rPr>
        <w:t>).</w:t>
      </w:r>
    </w:p>
    <w:p>
      <w:pPr>
        <w:spacing w:after="0" w:line="92" w:lineRule="exact"/>
        <w:rPr>
          <w:sz w:val="20"/>
          <w:szCs w:val="20"/>
          <w:color w:val="auto"/>
        </w:rPr>
      </w:pPr>
    </w:p>
    <w:p>
      <w:pPr>
        <w:ind w:left="460" w:right="200" w:hanging="445"/>
        <w:spacing w:after="0" w:line="259" w:lineRule="auto"/>
        <w:tabs>
          <w:tab w:leader="none" w:pos="440" w:val="left"/>
        </w:tabs>
        <w:rPr>
          <w:sz w:val="20"/>
          <w:szCs w:val="20"/>
          <w:color w:val="auto"/>
        </w:rPr>
      </w:pPr>
      <w:r>
        <w:rPr>
          <w:rFonts w:ascii="Arial" w:cs="Arial" w:eastAsia="Arial" w:hAnsi="Arial"/>
          <w:sz w:val="18"/>
          <w:szCs w:val="18"/>
          <w:color w:val="auto"/>
        </w:rPr>
        <w:t>3.3</w:t>
        <w:tab/>
        <w:t>In addition, a German Guarantor shall realize, to the extent legally permitted, in a situation where after enforcement of the Guarantee such German Guarantor would not have Net Assets in excess of its registered share capital, any and all of its assets that are shown in the balance sheet with a book value (</w:t>
      </w:r>
      <w:r>
        <w:rPr>
          <w:rFonts w:ascii="Arial" w:cs="Arial" w:eastAsia="Arial" w:hAnsi="Arial"/>
          <w:sz w:val="18"/>
          <w:szCs w:val="18"/>
          <w:i w:val="1"/>
          <w:iCs w:val="1"/>
          <w:color w:val="auto"/>
        </w:rPr>
        <w:t>Buchwert</w:t>
      </w:r>
      <w:r>
        <w:rPr>
          <w:rFonts w:ascii="Arial" w:cs="Arial" w:eastAsia="Arial" w:hAnsi="Arial"/>
          <w:sz w:val="18"/>
          <w:szCs w:val="18"/>
          <w:color w:val="auto"/>
        </w:rPr>
        <w:t>) that is significantly lower than the market value of the asset if such asset is not necessary for the German business (</w:t>
      </w:r>
      <w:r>
        <w:rPr>
          <w:rFonts w:ascii="Arial" w:cs="Arial" w:eastAsia="Arial" w:hAnsi="Arial"/>
          <w:sz w:val="18"/>
          <w:szCs w:val="18"/>
          <w:i w:val="1"/>
          <w:iCs w:val="1"/>
          <w:color w:val="auto"/>
        </w:rPr>
        <w:t>betriebsnotwendig</w:t>
      </w:r>
      <w:r>
        <w:rPr>
          <w:rFonts w:ascii="Arial" w:cs="Arial" w:eastAsia="Arial" w:hAnsi="Arial"/>
          <w:sz w:val="18"/>
          <w:szCs w:val="18"/>
          <w:color w:val="auto"/>
        </w:rPr>
        <w: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380"/>
          </w:cols>
          <w:pgMar w:left="240" w:top="274" w:right="279" w:bottom="1440" w:gutter="0" w:footer="0" w:header="0"/>
        </w:sectPr>
      </w:pPr>
    </w:p>
    <w:bookmarkStart w:id="196" w:name="page197"/>
    <w:bookmarkEnd w:id="196"/>
    <w:p>
      <w:pPr>
        <w:ind w:left="440" w:right="80" w:hanging="445"/>
        <w:spacing w:after="0" w:line="268"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r>
        <w:rPr>
          <w:sz w:val="20"/>
          <w:szCs w:val="20"/>
          <w:color w:val="auto"/>
        </w:rPr>
        <w:tab/>
      </w:r>
      <w:r>
        <w:rPr>
          <w:rFonts w:ascii="Arial" w:cs="Arial" w:eastAsia="Arial" w:hAnsi="Arial"/>
          <w:sz w:val="17"/>
          <w:szCs w:val="17"/>
          <w:color w:val="auto"/>
        </w:rPr>
        <w:t>The limitations set out in sub-clause (a) above shall only apply (A) if and to the extent that within 5 Business Days following the demand against such German Guarantor under the Guarantee by the relevant Holder and/or the Trustee (the “</w:t>
      </w:r>
      <w:r>
        <w:rPr>
          <w:rFonts w:ascii="Arial" w:cs="Arial" w:eastAsia="Arial" w:hAnsi="Arial"/>
          <w:sz w:val="17"/>
          <w:szCs w:val="17"/>
          <w:i w:val="1"/>
          <w:iCs w:val="1"/>
          <w:color w:val="auto"/>
        </w:rPr>
        <w:t>Guarantee Demand</w:t>
      </w:r>
      <w:r>
        <w:rPr>
          <w:rFonts w:ascii="Arial" w:cs="Arial" w:eastAsia="Arial" w:hAnsi="Arial"/>
          <w:sz w:val="17"/>
          <w:szCs w:val="17"/>
          <w:color w:val="auto"/>
        </w:rPr>
        <w:t>”) the managing directors of the German Guarantor have confirmed to the relevant Holder and/or the Trustee in writing (x) to what extent the Guarantee is an up-stream or cross-stream security and (y) the amount which cannot be enforced as causing the net assets of such German Guarantor, to fall below its stated share capital and such confirmation is supported by interim financial statements up to the end of the last completed calendar month (taking into account the adjustments set out in paragraph sub-clause (ii) above and such confirmation is supported by evidence reasonably satisfactory to the relevant Holder and/or the Trustee (the “</w:t>
      </w:r>
      <w:r>
        <w:rPr>
          <w:rFonts w:ascii="Arial" w:cs="Arial" w:eastAsia="Arial" w:hAnsi="Arial"/>
          <w:sz w:val="17"/>
          <w:szCs w:val="17"/>
          <w:i w:val="1"/>
          <w:iCs w:val="1"/>
          <w:color w:val="auto"/>
        </w:rPr>
        <w:t>Management Determination</w:t>
      </w:r>
      <w:r>
        <w:rPr>
          <w:rFonts w:ascii="Arial" w:cs="Arial" w:eastAsia="Arial" w:hAnsi="Arial"/>
          <w:sz w:val="17"/>
          <w:szCs w:val="17"/>
          <w:color w:val="auto"/>
        </w:rPr>
        <w:t>”) and the relevant Holder and/or the Trustee has (have) not contested this and argued that no or a lesser amount would be necessary to maintain its stated share capital; or (B) within 20 Business Days from the date the relevant Holder and/or the Trustee has (have) contested the Management Determination the relevant Holder and/or the Trustee receive(s) a determination by auditors of international standard and reputation (the “</w:t>
      </w:r>
      <w:r>
        <w:rPr>
          <w:rFonts w:ascii="Arial" w:cs="Arial" w:eastAsia="Arial" w:hAnsi="Arial"/>
          <w:sz w:val="17"/>
          <w:szCs w:val="17"/>
          <w:i w:val="1"/>
          <w:iCs w:val="1"/>
          <w:color w:val="auto"/>
        </w:rPr>
        <w:t>Auditor’s Determination</w:t>
      </w:r>
      <w:r>
        <w:rPr>
          <w:rFonts w:ascii="Arial" w:cs="Arial" w:eastAsia="Arial" w:hAnsi="Arial"/>
          <w:sz w:val="17"/>
          <w:szCs w:val="17"/>
          <w:color w:val="auto"/>
        </w:rPr>
        <w:t>”) as appointed by such German Guarantor of the amount that would have been necessary on the date the Guarantee Demand was made to maintain the German Guarantor stated share capital based on an up to date balance sheet which shall be based on the same accounting principles that were applied when establishing the previous year’s balance sheet and calculated and adjusted in accordance with sub-clauses (i) and (ii) above. If a German Guarantor fails to deliver an Auditor’s Determination within 20 Business Days after the date the relevant Holder and/or the Trustee has (have) contested the Management Determination, the relevant Holder and/or the Trustee shall be entitled to enforce the Guarantee without limitation or restriction.</w:t>
      </w:r>
    </w:p>
    <w:p>
      <w:pPr>
        <w:spacing w:after="0" w:line="89" w:lineRule="exact"/>
        <w:rPr>
          <w:sz w:val="20"/>
          <w:szCs w:val="20"/>
          <w:color w:val="auto"/>
        </w:rPr>
      </w:pPr>
    </w:p>
    <w:p>
      <w:pPr>
        <w:ind w:left="440" w:hanging="445"/>
        <w:spacing w:after="0" w:line="288" w:lineRule="auto"/>
        <w:tabs>
          <w:tab w:leader="none" w:pos="4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If the relevant Holder and/or the Trustee disagree(s) with the Management Determination and/or the Auditor’s Determination, the Guarantee shall be enforceable up to the amount which is undisputed between itself (them) and the relevant German Guarantor. In relation to the amount which is disputed, the relevant Holder and/or the Trustee shall be entitled to further pursue its (their) claims and enforce the Guarantee always subject to sub-clauses (i) to</w:t>
      </w:r>
    </w:p>
    <w:p>
      <w:pPr>
        <w:ind w:left="440" w:right="100" w:hanging="6"/>
        <w:spacing w:after="0" w:line="255" w:lineRule="auto"/>
        <w:tabs>
          <w:tab w:leader="none" w:pos="74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(inclusive) above and clause (g) below, if it (they) determine(s) in good faith that the financial condition of such German Guarantor as set forth in the Auditor’s Determination and/or the Management Determination has substantially improved (in particular, if such German Guarantor has performed any actions in accordance with sub-clause (iii) above).</w:t>
      </w:r>
    </w:p>
    <w:p>
      <w:pPr>
        <w:spacing w:after="0" w:line="96" w:lineRule="exact"/>
        <w:rPr>
          <w:sz w:val="20"/>
          <w:szCs w:val="20"/>
          <w:color w:val="auto"/>
        </w:rPr>
      </w:pPr>
    </w:p>
    <w:p>
      <w:pPr>
        <w:ind w:left="440" w:hanging="445"/>
        <w:spacing w:after="0" w:line="254" w:lineRule="auto"/>
        <w:tabs>
          <w:tab w:leader="none" w:pos="420" w:val="left"/>
        </w:tabs>
        <w:rPr>
          <w:sz w:val="20"/>
          <w:szCs w:val="20"/>
          <w:color w:val="auto"/>
        </w:rPr>
      </w:pPr>
      <w:r>
        <w:rPr>
          <w:rFonts w:ascii="Arial" w:cs="Arial" w:eastAsia="Arial" w:hAnsi="Arial"/>
          <w:sz w:val="18"/>
          <w:szCs w:val="18"/>
          <w:color w:val="auto"/>
        </w:rPr>
        <w:t>3.6</w:t>
        <w:tab/>
        <w:t>The limitations set out in sub-clause (a) above shall not apply (i) if a domination agreement (</w:t>
      </w:r>
      <w:r>
        <w:rPr>
          <w:rFonts w:ascii="Arial" w:cs="Arial" w:eastAsia="Arial" w:hAnsi="Arial"/>
          <w:sz w:val="18"/>
          <w:szCs w:val="18"/>
          <w:i w:val="1"/>
          <w:iCs w:val="1"/>
          <w:color w:val="auto"/>
        </w:rPr>
        <w:t>Beherrschungsvertrag</w:t>
      </w:r>
      <w:r>
        <w:rPr>
          <w:rFonts w:ascii="Arial" w:cs="Arial" w:eastAsia="Arial" w:hAnsi="Arial"/>
          <w:sz w:val="18"/>
          <w:szCs w:val="18"/>
          <w:color w:val="auto"/>
        </w:rPr>
        <w:t>) and/or a profit absorption agreement (</w:t>
      </w:r>
      <w:r>
        <w:rPr>
          <w:rFonts w:ascii="Arial" w:cs="Arial" w:eastAsia="Arial" w:hAnsi="Arial"/>
          <w:sz w:val="18"/>
          <w:szCs w:val="18"/>
          <w:i w:val="1"/>
          <w:iCs w:val="1"/>
          <w:color w:val="auto"/>
        </w:rPr>
        <w:t>Gewinnabführungsvertrag</w:t>
      </w:r>
      <w:r>
        <w:rPr>
          <w:rFonts w:ascii="Arial" w:cs="Arial" w:eastAsia="Arial" w:hAnsi="Arial"/>
          <w:sz w:val="18"/>
          <w:szCs w:val="18"/>
          <w:color w:val="auto"/>
        </w:rPr>
        <w:t>) is or becomes effective between the relevant German Guarantor and any of its shareholders and any potential loss compensation claim (</w:t>
      </w:r>
      <w:r>
        <w:rPr>
          <w:rFonts w:ascii="Arial" w:cs="Arial" w:eastAsia="Arial" w:hAnsi="Arial"/>
          <w:sz w:val="18"/>
          <w:szCs w:val="18"/>
          <w:i w:val="1"/>
          <w:iCs w:val="1"/>
          <w:color w:val="auto"/>
        </w:rPr>
        <w:t>Verlustausgleichanspruch</w:t>
      </w:r>
      <w:r>
        <w:rPr>
          <w:rFonts w:ascii="Arial" w:cs="Arial" w:eastAsia="Arial" w:hAnsi="Arial"/>
          <w:sz w:val="18"/>
          <w:szCs w:val="18"/>
          <w:color w:val="auto"/>
        </w:rPr>
        <w:t>) of the relevant German Guarantor thereunder or in relation thereto is valuable (</w:t>
      </w:r>
      <w:r>
        <w:rPr>
          <w:rFonts w:ascii="Arial" w:cs="Arial" w:eastAsia="Arial" w:hAnsi="Arial"/>
          <w:sz w:val="18"/>
          <w:szCs w:val="18"/>
          <w:i w:val="1"/>
          <w:iCs w:val="1"/>
          <w:color w:val="auto"/>
        </w:rPr>
        <w:t>vollwertig</w:t>
      </w:r>
      <w:r>
        <w:rPr>
          <w:rFonts w:ascii="Arial" w:cs="Arial" w:eastAsia="Arial" w:hAnsi="Arial"/>
          <w:sz w:val="18"/>
          <w:szCs w:val="18"/>
          <w:color w:val="auto"/>
        </w:rPr>
        <w:t>), (ii) if the relevant German Guarantor’s payment is covered by a valuable recourse claim (</w:t>
      </w:r>
      <w:r>
        <w:rPr>
          <w:rFonts w:ascii="Arial" w:cs="Arial" w:eastAsia="Arial" w:hAnsi="Arial"/>
          <w:sz w:val="18"/>
          <w:szCs w:val="18"/>
          <w:i w:val="1"/>
          <w:iCs w:val="1"/>
          <w:color w:val="auto"/>
        </w:rPr>
        <w:t>vollwertig</w:t>
      </w:r>
      <w:r>
        <w:rPr>
          <w:rFonts w:ascii="Arial" w:cs="Arial" w:eastAsia="Arial" w:hAnsi="Arial"/>
          <w:sz w:val="18"/>
          <w:szCs w:val="18"/>
          <w:color w:val="auto"/>
        </w:rPr>
        <w:t>) against its shareholder or (iii) if and to the extent for any other reason (including as a result of a change in the relevant rules of law) the deficit (</w:t>
      </w:r>
      <w:r>
        <w:rPr>
          <w:rFonts w:ascii="Arial" w:cs="Arial" w:eastAsia="Arial" w:hAnsi="Arial"/>
          <w:sz w:val="18"/>
          <w:szCs w:val="18"/>
          <w:i w:val="1"/>
          <w:iCs w:val="1"/>
          <w:color w:val="auto"/>
        </w:rPr>
        <w:t>Unterbilanz</w:t>
      </w:r>
      <w:r>
        <w:rPr>
          <w:rFonts w:ascii="Arial" w:cs="Arial" w:eastAsia="Arial" w:hAnsi="Arial"/>
          <w:sz w:val="18"/>
          <w:szCs w:val="18"/>
          <w:color w:val="auto"/>
        </w:rPr>
        <w:t>) referred to in sub-clause (a) above does not constitute a breach of the German Guarantor’s obligations to maintain its registered share capital pursuant to sections 30 et seq. of the German Limited Liability Companies Act (</w:t>
      </w:r>
      <w:r>
        <w:rPr>
          <w:rFonts w:ascii="Arial" w:cs="Arial" w:eastAsia="Arial" w:hAnsi="Arial"/>
          <w:sz w:val="18"/>
          <w:szCs w:val="18"/>
          <w:i w:val="1"/>
          <w:iCs w:val="1"/>
          <w:color w:val="auto"/>
        </w:rPr>
        <w:t>Gesetz betreffend die Gesellschaften mit beschränkter Haftung</w:t>
      </w:r>
      <w:r>
        <w:rPr>
          <w:rFonts w:ascii="Arial" w:cs="Arial" w:eastAsia="Arial" w:hAnsi="Arial"/>
          <w:sz w:val="18"/>
          <w:szCs w:val="18"/>
          <w:color w:val="auto"/>
        </w:rPr>
        <w:t>), each as amended, supplemented and/or replaced from time to time.</w:t>
      </w:r>
    </w:p>
    <w:p>
      <w:pPr>
        <w:spacing w:after="0" w:line="98" w:lineRule="exact"/>
        <w:rPr>
          <w:sz w:val="20"/>
          <w:szCs w:val="20"/>
          <w:color w:val="auto"/>
        </w:rPr>
      </w:pPr>
    </w:p>
    <w:p>
      <w:pPr>
        <w:ind w:left="440" w:right="180" w:hanging="445"/>
        <w:spacing w:after="0" w:line="264" w:lineRule="auto"/>
        <w:tabs>
          <w:tab w:leader="none" w:pos="420" w:val="left"/>
        </w:tabs>
        <w:rPr>
          <w:sz w:val="20"/>
          <w:szCs w:val="20"/>
          <w:color w:val="auto"/>
        </w:rPr>
      </w:pPr>
      <w:r>
        <w:rPr>
          <w:rFonts w:ascii="Arial" w:cs="Arial" w:eastAsia="Arial" w:hAnsi="Arial"/>
          <w:sz w:val="18"/>
          <w:szCs w:val="18"/>
          <w:color w:val="auto"/>
        </w:rPr>
        <w:t>3.7</w:t>
        <w:tab/>
        <w:t>Notwithstanding the above provisions, and subject to the following paragraph below, the Guarantee shall not be enforced against a German Guarantor to the extent that such German Guarantor provides constructive evidence that such enforcement will deprive such German Guarantor of the liquidity necessary to fulfil its liabilities to its creditors or otherwise result in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400"/>
          </w:cols>
          <w:pgMar w:left="260" w:top="274" w:right="239" w:bottom="1440" w:gutter="0" w:footer="0" w:header="0"/>
        </w:sectPr>
      </w:pPr>
    </w:p>
    <w:bookmarkStart w:id="197" w:name="page198"/>
    <w:bookmarkEnd w:id="197"/>
    <w:p>
      <w:pPr>
        <w:ind w:left="440" w:right="3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of the duty of care owed by the relevant managing director to the respective company (</w:t>
      </w:r>
      <w:r>
        <w:rPr>
          <w:rFonts w:ascii="Arial" w:cs="Arial" w:eastAsia="Arial" w:hAnsi="Arial"/>
          <w:sz w:val="17"/>
          <w:szCs w:val="17"/>
          <w:i w:val="1"/>
          <w:iCs w:val="1"/>
          <w:color w:val="auto"/>
        </w:rPr>
        <w:t>Verbot des existenzvernichtenden Eingriffs, Gebot der</w:t>
      </w:r>
      <w:r>
        <w:rPr>
          <w:rFonts w:ascii="Arial" w:cs="Arial" w:eastAsia="Arial" w:hAnsi="Arial"/>
          <w:sz w:val="17"/>
          <w:szCs w:val="17"/>
          <w:color w:val="auto"/>
        </w:rPr>
        <w:t xml:space="preserve"> </w:t>
      </w:r>
      <w:r>
        <w:rPr>
          <w:rFonts w:ascii="Arial" w:cs="Arial" w:eastAsia="Arial" w:hAnsi="Arial"/>
          <w:sz w:val="17"/>
          <w:szCs w:val="17"/>
          <w:i w:val="1"/>
          <w:iCs w:val="1"/>
          <w:color w:val="auto"/>
        </w:rPr>
        <w:t>Rücksichtnahme auf die Eigenbelange der Gesellschaft</w:t>
      </w:r>
      <w:r>
        <w:rPr>
          <w:rFonts w:ascii="Arial" w:cs="Arial" w:eastAsia="Arial" w:hAnsi="Arial"/>
          <w:sz w:val="17"/>
          <w:szCs w:val="17"/>
          <w:color w:val="auto"/>
        </w:rPr>
        <w:t>) and could reasonably be expected to result in a material risk of personal civil or criminal</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of the relevant managing directors of such German Guarantor or the relevant managing directors of its shareholders.</w:t>
      </w:r>
    </w:p>
    <w:p>
      <w:pPr>
        <w:spacing w:after="0" w:line="71" w:lineRule="exact"/>
        <w:rPr>
          <w:sz w:val="20"/>
          <w:szCs w:val="20"/>
          <w:color w:val="auto"/>
        </w:rPr>
      </w:pPr>
    </w:p>
    <w:p>
      <w:pPr>
        <w:ind w:left="440" w:hanging="445"/>
        <w:spacing w:after="0" w:line="264" w:lineRule="auto"/>
        <w:tabs>
          <w:tab w:leader="none" w:pos="420" w:val="left"/>
        </w:tabs>
        <w:rPr>
          <w:sz w:val="20"/>
          <w:szCs w:val="20"/>
          <w:color w:val="auto"/>
        </w:rPr>
      </w:pPr>
      <w:r>
        <w:rPr>
          <w:rFonts w:ascii="Arial" w:cs="Arial" w:eastAsia="Arial" w:hAnsi="Arial"/>
          <w:sz w:val="18"/>
          <w:szCs w:val="18"/>
          <w:color w:val="auto"/>
        </w:rPr>
        <w:t>3.8</w:t>
        <w:tab/>
        <w:t>For the avoidance of doubt, nothing in this Schedule shall be interpreted as a restriction or limitation of the enforcement of the Guarantee to the extent it guarantees the prompt and complete payment and discharge of any and all obligations of a German Guarantor itself or any of its subsidiaries including in each case their legal successors.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400"/>
          </w:cols>
          <w:pgMar w:left="260" w:top="274"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December 7, 2015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FREESCALE SEMICONDUCTOR,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Guarantors listed herein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WELLS FARGO BANK, NATIONAL ASSOCIATION,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6.000% SENIOR SECURED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9740" w:type="dxa"/>
            <w:vAlign w:val="bottom"/>
          </w:tcPr>
          <w:p>
            <w:pPr>
              <w:ind w:left="35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4"/>
                <w:szCs w:val="24"/>
                <w:color w:val="auto"/>
              </w:rPr>
            </w:pPr>
          </w:p>
        </w:tc>
        <w:tc>
          <w:tcPr>
            <w:tcW w:w="9740" w:type="dxa"/>
            <w:vAlign w:val="bottom"/>
            <w:vMerge w:val="restart"/>
          </w:tcPr>
          <w:p>
            <w:pPr>
              <w:jc w:val="center"/>
              <w:ind w:right="910"/>
              <w:spacing w:after="0"/>
              <w:rPr>
                <w:sz w:val="20"/>
                <w:szCs w:val="20"/>
                <w:color w:val="auto"/>
              </w:rPr>
            </w:pPr>
            <w:r>
              <w:rPr>
                <w:rFonts w:ascii="Arial" w:cs="Arial" w:eastAsia="Arial" w:hAnsi="Arial"/>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9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9740" w:type="dxa"/>
            <w:vAlign w:val="bottom"/>
          </w:tcPr>
          <w:p>
            <w:pPr>
              <w:jc w:val="center"/>
              <w:ind w:right="930"/>
              <w:spacing w:after="0"/>
              <w:rPr>
                <w:sz w:val="20"/>
                <w:szCs w:val="20"/>
                <w:color w:val="auto"/>
              </w:rPr>
            </w:pPr>
            <w:r>
              <w:rPr>
                <w:rFonts w:ascii="Arial" w:cs="Arial" w:eastAsia="Arial" w:hAnsi="Arial"/>
                <w:sz w:val="18"/>
                <w:szCs w:val="18"/>
                <w:color w:val="auto"/>
                <w:w w:val="98"/>
              </w:rPr>
              <w:t>DEFINITIONS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974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1.02</w:t>
            </w:r>
          </w:p>
        </w:tc>
        <w:tc>
          <w:tcPr>
            <w:tcW w:w="9740" w:type="dxa"/>
            <w:vAlign w:val="bottom"/>
          </w:tcPr>
          <w:p>
            <w:pPr>
              <w:ind w:left="160"/>
              <w:spacing w:after="0"/>
              <w:rPr>
                <w:sz w:val="20"/>
                <w:szCs w:val="20"/>
                <w:color w:val="auto"/>
              </w:rPr>
            </w:pPr>
            <w:r>
              <w:rPr>
                <w:rFonts w:ascii="Arial" w:cs="Arial" w:eastAsia="Arial" w:hAnsi="Arial"/>
                <w:sz w:val="18"/>
                <w:szCs w:val="18"/>
                <w:color w:val="auto"/>
              </w:rPr>
              <w:t>Other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w w:val="91"/>
              </w:rPr>
              <w:t>SECTION 1.03Rules of Construction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1.04</w:t>
            </w:r>
          </w:p>
        </w:tc>
        <w:tc>
          <w:tcPr>
            <w:tcW w:w="9740" w:type="dxa"/>
            <w:vAlign w:val="bottom"/>
          </w:tcPr>
          <w:p>
            <w:pPr>
              <w:ind w:left="160"/>
              <w:spacing w:after="0"/>
              <w:rPr>
                <w:sz w:val="20"/>
                <w:szCs w:val="20"/>
                <w:color w:val="auto"/>
              </w:rPr>
            </w:pPr>
            <w:r>
              <w:rPr>
                <w:rFonts w:ascii="Arial" w:cs="Arial" w:eastAsia="Arial" w:hAnsi="Arial"/>
                <w:sz w:val="18"/>
                <w:szCs w:val="18"/>
                <w:color w:val="auto"/>
              </w:rPr>
              <w:t>Acts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9740" w:type="dxa"/>
            <w:vAlign w:val="bottom"/>
          </w:tcPr>
          <w:p>
            <w:pPr>
              <w:jc w:val="center"/>
              <w:ind w:right="9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9740" w:type="dxa"/>
            <w:vAlign w:val="bottom"/>
          </w:tcPr>
          <w:p>
            <w:pPr>
              <w:jc w:val="center"/>
              <w:ind w:right="910"/>
              <w:spacing w:after="0"/>
              <w:rPr>
                <w:sz w:val="20"/>
                <w:szCs w:val="20"/>
                <w:color w:val="auto"/>
              </w:rPr>
            </w:pPr>
            <w:r>
              <w:rPr>
                <w:rFonts w:ascii="Arial" w:cs="Arial" w:eastAsia="Arial" w:hAnsi="Arial"/>
                <w:sz w:val="18"/>
                <w:szCs w:val="18"/>
                <w:color w:val="auto"/>
                <w:w w:val="95"/>
              </w:rPr>
              <w:t>THE NOTES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1040" w:type="dxa"/>
            <w:vAlign w:val="bottom"/>
            <w:gridSpan w:val="2"/>
          </w:tcPr>
          <w:p>
            <w:pPr>
              <w:spacing w:after="0"/>
              <w:rPr>
                <w:sz w:val="20"/>
                <w:szCs w:val="20"/>
                <w:color w:val="auto"/>
              </w:rPr>
            </w:pPr>
            <w:r>
              <w:rPr>
                <w:rFonts w:ascii="Arial" w:cs="Arial" w:eastAsia="Arial" w:hAnsi="Arial"/>
                <w:sz w:val="18"/>
                <w:szCs w:val="18"/>
                <w:color w:val="auto"/>
                <w:w w:val="90"/>
              </w:rPr>
              <w:t>SECTION 2.01Form and Dating;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w w:val="91"/>
              </w:rPr>
              <w:t>SECTION 2.02Execution and Authentication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w w:val="89"/>
              </w:rPr>
              <w:t>SECTION 2.03Registrar and Paying Agent</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w w:val="92"/>
              </w:rPr>
              <w:t>SECTION 2.04Paying Agent to Hold Money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2.05</w:t>
            </w:r>
          </w:p>
        </w:tc>
        <w:tc>
          <w:tcPr>
            <w:tcW w:w="9740" w:type="dxa"/>
            <w:vAlign w:val="bottom"/>
          </w:tcPr>
          <w:p>
            <w:pPr>
              <w:ind w:left="160"/>
              <w:spacing w:after="0"/>
              <w:rPr>
                <w:sz w:val="20"/>
                <w:szCs w:val="20"/>
                <w:color w:val="auto"/>
              </w:rPr>
            </w:pPr>
            <w:r>
              <w:rPr>
                <w:rFonts w:ascii="Arial" w:cs="Arial" w:eastAsia="Arial" w:hAnsi="Arial"/>
                <w:sz w:val="18"/>
                <w:szCs w:val="18"/>
                <w:color w:val="auto"/>
              </w:rPr>
              <w:t>Holder Lists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w w:val="88"/>
              </w:rPr>
              <w:t>SECTION 2.06Transfer and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2.07</w:t>
            </w:r>
          </w:p>
        </w:tc>
        <w:tc>
          <w:tcPr>
            <w:tcW w:w="9740" w:type="dxa"/>
            <w:vAlign w:val="bottom"/>
          </w:tcPr>
          <w:p>
            <w:pPr>
              <w:ind w:left="160"/>
              <w:spacing w:after="0"/>
              <w:rPr>
                <w:sz w:val="20"/>
                <w:szCs w:val="20"/>
                <w:color w:val="auto"/>
              </w:rPr>
            </w:pPr>
            <w:r>
              <w:rPr>
                <w:rFonts w:ascii="Arial" w:cs="Arial" w:eastAsia="Arial" w:hAnsi="Arial"/>
                <w:sz w:val="18"/>
                <w:szCs w:val="18"/>
                <w:color w:val="auto"/>
              </w:rPr>
              <w:t>Replacement Notes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2.08</w:t>
            </w:r>
          </w:p>
        </w:tc>
        <w:tc>
          <w:tcPr>
            <w:tcW w:w="9740" w:type="dxa"/>
            <w:vAlign w:val="bottom"/>
          </w:tcPr>
          <w:p>
            <w:pPr>
              <w:ind w:left="160"/>
              <w:spacing w:after="0"/>
              <w:rPr>
                <w:sz w:val="20"/>
                <w:szCs w:val="20"/>
                <w:color w:val="auto"/>
              </w:rPr>
            </w:pPr>
            <w:r>
              <w:rPr>
                <w:rFonts w:ascii="Arial" w:cs="Arial" w:eastAsia="Arial" w:hAnsi="Arial"/>
                <w:sz w:val="18"/>
                <w:szCs w:val="18"/>
                <w:color w:val="auto"/>
              </w:rPr>
              <w:t>Outstanding Notes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2.09</w:t>
            </w:r>
          </w:p>
        </w:tc>
        <w:tc>
          <w:tcPr>
            <w:tcW w:w="9740" w:type="dxa"/>
            <w:vAlign w:val="bottom"/>
          </w:tcPr>
          <w:p>
            <w:pPr>
              <w:ind w:left="160"/>
              <w:spacing w:after="0"/>
              <w:rPr>
                <w:sz w:val="20"/>
                <w:szCs w:val="20"/>
                <w:color w:val="auto"/>
              </w:rPr>
            </w:pPr>
            <w:r>
              <w:rPr>
                <w:rFonts w:ascii="Arial" w:cs="Arial" w:eastAsia="Arial" w:hAnsi="Arial"/>
                <w:sz w:val="18"/>
                <w:szCs w:val="18"/>
                <w:color w:val="auto"/>
              </w:rPr>
              <w:t>Treasury Notes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2.10</w:t>
            </w:r>
          </w:p>
        </w:tc>
        <w:tc>
          <w:tcPr>
            <w:tcW w:w="9740" w:type="dxa"/>
            <w:vAlign w:val="bottom"/>
          </w:tcPr>
          <w:p>
            <w:pPr>
              <w:ind w:left="160"/>
              <w:spacing w:after="0"/>
              <w:rPr>
                <w:sz w:val="20"/>
                <w:szCs w:val="20"/>
                <w:color w:val="auto"/>
              </w:rPr>
            </w:pPr>
            <w:r>
              <w:rPr>
                <w:rFonts w:ascii="Arial" w:cs="Arial" w:eastAsia="Arial" w:hAnsi="Arial"/>
                <w:sz w:val="18"/>
                <w:szCs w:val="18"/>
                <w:color w:val="auto"/>
              </w:rPr>
              <w:t>Temporary Notes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2.11</w:t>
            </w:r>
          </w:p>
        </w:tc>
        <w:tc>
          <w:tcPr>
            <w:tcW w:w="9740" w:type="dxa"/>
            <w:vAlign w:val="bottom"/>
          </w:tcPr>
          <w:p>
            <w:pPr>
              <w:ind w:left="16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2.12</w:t>
            </w:r>
          </w:p>
        </w:tc>
        <w:tc>
          <w:tcPr>
            <w:tcW w:w="9740" w:type="dxa"/>
            <w:vAlign w:val="bottom"/>
          </w:tcPr>
          <w:p>
            <w:pPr>
              <w:ind w:left="160"/>
              <w:spacing w:after="0"/>
              <w:rPr>
                <w:sz w:val="20"/>
                <w:szCs w:val="20"/>
                <w:color w:val="auto"/>
              </w:rPr>
            </w:pPr>
            <w:r>
              <w:rPr>
                <w:rFonts w:ascii="Arial" w:cs="Arial" w:eastAsia="Arial" w:hAnsi="Arial"/>
                <w:sz w:val="18"/>
                <w:szCs w:val="18"/>
                <w:color w:val="auto"/>
              </w:rPr>
              <w:t>Defaulted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2.13</w:t>
            </w:r>
          </w:p>
        </w:tc>
        <w:tc>
          <w:tcPr>
            <w:tcW w:w="9740" w:type="dxa"/>
            <w:vAlign w:val="bottom"/>
          </w:tcPr>
          <w:p>
            <w:pPr>
              <w:ind w:left="160"/>
              <w:spacing w:after="0"/>
              <w:rPr>
                <w:sz w:val="20"/>
                <w:szCs w:val="20"/>
                <w:color w:val="auto"/>
              </w:rPr>
            </w:pPr>
            <w:r>
              <w:rPr>
                <w:rFonts w:ascii="Arial" w:cs="Arial" w:eastAsia="Arial" w:hAnsi="Arial"/>
                <w:sz w:val="18"/>
                <w:szCs w:val="18"/>
                <w:color w:val="auto"/>
              </w:rPr>
              <w:t>CUSIP/ISIN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9740" w:type="dxa"/>
            <w:vAlign w:val="bottom"/>
          </w:tcPr>
          <w:p>
            <w:pPr>
              <w:jc w:val="center"/>
              <w:ind w:right="91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9740" w:type="dxa"/>
            <w:vAlign w:val="bottom"/>
          </w:tcPr>
          <w:p>
            <w:pPr>
              <w:jc w:val="center"/>
              <w:ind w:right="930"/>
              <w:spacing w:after="0"/>
              <w:rPr>
                <w:sz w:val="20"/>
                <w:szCs w:val="20"/>
                <w:color w:val="auto"/>
              </w:rPr>
            </w:pPr>
            <w:r>
              <w:rPr>
                <w:rFonts w:ascii="Arial" w:cs="Arial" w:eastAsia="Arial" w:hAnsi="Arial"/>
                <w:sz w:val="18"/>
                <w:szCs w:val="18"/>
                <w:color w:val="auto"/>
                <w:w w:val="96"/>
              </w:rPr>
              <w:t>REDEMPTION</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0"/>
                <w:szCs w:val="20"/>
                <w:color w:val="auto"/>
              </w:rPr>
            </w:pPr>
            <w:r>
              <w:rPr>
                <w:rFonts w:ascii="Arial" w:cs="Arial" w:eastAsia="Arial" w:hAnsi="Arial"/>
                <w:sz w:val="18"/>
                <w:szCs w:val="18"/>
                <w:color w:val="auto"/>
              </w:rPr>
              <w:t>SECTION 3.01</w:t>
            </w:r>
          </w:p>
        </w:tc>
        <w:tc>
          <w:tcPr>
            <w:tcW w:w="9740" w:type="dxa"/>
            <w:vAlign w:val="bottom"/>
          </w:tcPr>
          <w:p>
            <w:pPr>
              <w:ind w:left="160"/>
              <w:spacing w:after="0"/>
              <w:rPr>
                <w:sz w:val="20"/>
                <w:szCs w:val="20"/>
                <w:color w:val="auto"/>
              </w:rPr>
            </w:pPr>
            <w:r>
              <w:rPr>
                <w:rFonts w:ascii="Arial" w:cs="Arial" w:eastAsia="Arial" w:hAnsi="Arial"/>
                <w:sz w:val="18"/>
                <w:szCs w:val="18"/>
                <w:color w:val="auto"/>
              </w:rPr>
              <w:t>Notices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w w:val="89"/>
              </w:rPr>
              <w:t>SECTION 3.02Selection of Notes to Be Redeemed</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w w:val="92"/>
              </w:rPr>
              <w:t>SECTION 3.03Notice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w w:val="92"/>
              </w:rPr>
              <w:t>SECTION 3.04Effect of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w w:val="90"/>
              </w:rPr>
              <w:t>SECTION 3.05Deposit of Redemption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w w:val="88"/>
              </w:rPr>
              <w:t>SECTION 3.06Notes Redeemed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3.07</w:t>
            </w:r>
          </w:p>
        </w:tc>
        <w:tc>
          <w:tcPr>
            <w:tcW w:w="9740" w:type="dxa"/>
            <w:vAlign w:val="bottom"/>
          </w:tcPr>
          <w:p>
            <w:pPr>
              <w:ind w:left="160"/>
              <w:spacing w:after="0"/>
              <w:rPr>
                <w:sz w:val="20"/>
                <w:szCs w:val="20"/>
                <w:color w:val="auto"/>
              </w:rPr>
            </w:pPr>
            <w:r>
              <w:rPr>
                <w:rFonts w:ascii="Arial" w:cs="Arial" w:eastAsia="Arial" w:hAnsi="Arial"/>
                <w:sz w:val="18"/>
                <w:szCs w:val="18"/>
                <w:color w:val="auto"/>
              </w:rPr>
              <w:t>Optional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3.08</w:t>
            </w:r>
          </w:p>
        </w:tc>
        <w:tc>
          <w:tcPr>
            <w:tcW w:w="9740" w:type="dxa"/>
            <w:vAlign w:val="bottom"/>
          </w:tcPr>
          <w:p>
            <w:pPr>
              <w:ind w:left="160"/>
              <w:spacing w:after="0"/>
              <w:rPr>
                <w:sz w:val="20"/>
                <w:szCs w:val="20"/>
                <w:color w:val="auto"/>
              </w:rPr>
            </w:pPr>
            <w:r>
              <w:rPr>
                <w:rFonts w:ascii="Arial" w:cs="Arial" w:eastAsia="Arial" w:hAnsi="Arial"/>
                <w:sz w:val="18"/>
                <w:szCs w:val="18"/>
                <w:color w:val="auto"/>
              </w:rPr>
              <w:t>Mandatory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11040" w:type="dxa"/>
            <w:vAlign w:val="bottom"/>
            <w:gridSpan w:val="2"/>
          </w:tcPr>
          <w:p>
            <w:pPr>
              <w:spacing w:after="0"/>
              <w:rPr>
                <w:sz w:val="20"/>
                <w:szCs w:val="20"/>
                <w:color w:val="auto"/>
              </w:rPr>
            </w:pPr>
            <w:r>
              <w:rPr>
                <w:rFonts w:ascii="Arial" w:cs="Arial" w:eastAsia="Arial" w:hAnsi="Arial"/>
                <w:sz w:val="18"/>
                <w:szCs w:val="18"/>
                <w:color w:val="auto"/>
                <w:w w:val="90"/>
              </w:rPr>
              <w:t>SECTION 3.09Offers to Repurchase by Application of Excess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8500" w:type="dxa"/>
            <w:vAlign w:val="bottom"/>
          </w:tcPr>
          <w:p>
            <w:pPr>
              <w:jc w:val="center"/>
              <w:ind w:left="150"/>
              <w:spacing w:after="0"/>
              <w:rPr>
                <w:sz w:val="20"/>
                <w:szCs w:val="20"/>
                <w:color w:val="auto"/>
              </w:rPr>
            </w:pPr>
            <w:r>
              <w:rPr>
                <w:rFonts w:ascii="Arial" w:cs="Arial" w:eastAsia="Arial" w:hAnsi="Arial"/>
                <w:sz w:val="18"/>
                <w:szCs w:val="18"/>
                <w:color w:val="auto"/>
                <w:w w:val="99"/>
              </w:rPr>
              <w:t>ARTICLE IV</w:t>
            </w:r>
          </w:p>
        </w:tc>
        <w:tc>
          <w:tcPr>
            <w:tcW w:w="152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8500" w:type="dxa"/>
            <w:vAlign w:val="bottom"/>
          </w:tcPr>
          <w:p>
            <w:pPr>
              <w:jc w:val="center"/>
              <w:ind w:left="150"/>
              <w:spacing w:after="0"/>
              <w:rPr>
                <w:sz w:val="20"/>
                <w:szCs w:val="20"/>
                <w:color w:val="auto"/>
              </w:rPr>
            </w:pPr>
            <w:r>
              <w:rPr>
                <w:rFonts w:ascii="Arial" w:cs="Arial" w:eastAsia="Arial" w:hAnsi="Arial"/>
                <w:sz w:val="18"/>
                <w:szCs w:val="18"/>
                <w:color w:val="auto"/>
                <w:w w:val="98"/>
              </w:rPr>
              <w:t>COVENANTS</w:t>
            </w:r>
          </w:p>
        </w:tc>
        <w:tc>
          <w:tcPr>
            <w:tcW w:w="1520" w:type="dxa"/>
            <w:vAlign w:val="bottom"/>
          </w:tcPr>
          <w:p>
            <w:pPr>
              <w:spacing w:after="0"/>
              <w:rPr>
                <w:sz w:val="20"/>
                <w:szCs w:val="20"/>
                <w:color w:val="auto"/>
              </w:rPr>
            </w:pPr>
          </w:p>
        </w:tc>
      </w:tr>
      <w:tr>
        <w:trPr>
          <w:trHeight w:val="269"/>
        </w:trPr>
        <w:tc>
          <w:tcPr>
            <w:tcW w:w="1300" w:type="dxa"/>
            <w:vAlign w:val="bottom"/>
          </w:tcPr>
          <w:p>
            <w:pPr>
              <w:spacing w:after="0"/>
              <w:rPr>
                <w:sz w:val="20"/>
                <w:szCs w:val="20"/>
                <w:color w:val="auto"/>
              </w:rPr>
            </w:pPr>
            <w:r>
              <w:rPr>
                <w:rFonts w:ascii="Arial" w:cs="Arial" w:eastAsia="Arial" w:hAnsi="Arial"/>
                <w:sz w:val="18"/>
                <w:szCs w:val="18"/>
                <w:color w:val="auto"/>
              </w:rPr>
              <w:t>SECTION 4.01</w:t>
            </w:r>
          </w:p>
        </w:tc>
        <w:tc>
          <w:tcPr>
            <w:tcW w:w="8500" w:type="dxa"/>
            <w:vAlign w:val="bottom"/>
          </w:tcPr>
          <w:p>
            <w:pPr>
              <w:ind w:left="160"/>
              <w:spacing w:after="0"/>
              <w:rPr>
                <w:sz w:val="20"/>
                <w:szCs w:val="20"/>
                <w:color w:val="auto"/>
              </w:rPr>
            </w:pPr>
            <w:r>
              <w:rPr>
                <w:rFonts w:ascii="Arial" w:cs="Arial" w:eastAsia="Arial" w:hAnsi="Arial"/>
                <w:sz w:val="18"/>
                <w:szCs w:val="18"/>
                <w:color w:val="auto"/>
              </w:rPr>
              <w:t>Payment of Notes</w:t>
            </w: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4.02</w:t>
            </w:r>
          </w:p>
        </w:tc>
        <w:tc>
          <w:tcPr>
            <w:tcW w:w="8500" w:type="dxa"/>
            <w:vAlign w:val="bottom"/>
          </w:tcPr>
          <w:p>
            <w:pPr>
              <w:ind w:left="160"/>
              <w:spacing w:after="0"/>
              <w:rPr>
                <w:sz w:val="20"/>
                <w:szCs w:val="20"/>
                <w:color w:val="auto"/>
              </w:rPr>
            </w:pPr>
            <w:r>
              <w:rPr>
                <w:rFonts w:ascii="Arial" w:cs="Arial" w:eastAsia="Arial" w:hAnsi="Arial"/>
                <w:sz w:val="18"/>
                <w:szCs w:val="18"/>
                <w:color w:val="auto"/>
              </w:rPr>
              <w:t>Maintenance of Office or Agency</w:t>
            </w: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4.03</w:t>
            </w:r>
          </w:p>
        </w:tc>
        <w:tc>
          <w:tcPr>
            <w:tcW w:w="8500" w:type="dxa"/>
            <w:vAlign w:val="bottom"/>
          </w:tcPr>
          <w:p>
            <w:pPr>
              <w:ind w:left="160"/>
              <w:spacing w:after="0"/>
              <w:rPr>
                <w:sz w:val="20"/>
                <w:szCs w:val="20"/>
                <w:color w:val="auto"/>
              </w:rPr>
            </w:pPr>
            <w:r>
              <w:rPr>
                <w:rFonts w:ascii="Arial" w:cs="Arial" w:eastAsia="Arial" w:hAnsi="Arial"/>
                <w:sz w:val="18"/>
                <w:szCs w:val="18"/>
                <w:color w:val="auto"/>
              </w:rPr>
              <w:t>Reports and Other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4.04</w:t>
            </w:r>
          </w:p>
        </w:tc>
        <w:tc>
          <w:tcPr>
            <w:tcW w:w="8500" w:type="dxa"/>
            <w:vAlign w:val="bottom"/>
          </w:tcPr>
          <w:p>
            <w:pPr>
              <w:ind w:left="160"/>
              <w:spacing w:after="0"/>
              <w:rPr>
                <w:sz w:val="20"/>
                <w:szCs w:val="20"/>
                <w:color w:val="auto"/>
              </w:rPr>
            </w:pPr>
            <w:r>
              <w:rPr>
                <w:rFonts w:ascii="Arial" w:cs="Arial" w:eastAsia="Arial" w:hAnsi="Arial"/>
                <w:sz w:val="18"/>
                <w:szCs w:val="18"/>
                <w:color w:val="auto"/>
              </w:rPr>
              <w:t>Compliance Certificate</w:t>
            </w: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4.05</w:t>
            </w:r>
          </w:p>
        </w:tc>
        <w:tc>
          <w:tcPr>
            <w:tcW w:w="8500" w:type="dxa"/>
            <w:vAlign w:val="bottom"/>
          </w:tcPr>
          <w:p>
            <w:pPr>
              <w:ind w:left="160"/>
              <w:spacing w:after="0"/>
              <w:rPr>
                <w:sz w:val="20"/>
                <w:szCs w:val="20"/>
                <w:color w:val="auto"/>
              </w:rPr>
            </w:pPr>
            <w:r>
              <w:rPr>
                <w:rFonts w:ascii="Arial" w:cs="Arial" w:eastAsia="Arial" w:hAnsi="Arial"/>
                <w:sz w:val="18"/>
                <w:szCs w:val="18"/>
                <w:color w:val="auto"/>
              </w:rPr>
              <w:t>Taxes</w:t>
            </w: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4.06</w:t>
            </w:r>
          </w:p>
        </w:tc>
        <w:tc>
          <w:tcPr>
            <w:tcW w:w="8500" w:type="dxa"/>
            <w:vAlign w:val="bottom"/>
          </w:tcPr>
          <w:p>
            <w:pPr>
              <w:ind w:left="160"/>
              <w:spacing w:after="0"/>
              <w:rPr>
                <w:sz w:val="20"/>
                <w:szCs w:val="20"/>
                <w:color w:val="auto"/>
              </w:rPr>
            </w:pPr>
            <w:r>
              <w:rPr>
                <w:rFonts w:ascii="Arial" w:cs="Arial" w:eastAsia="Arial" w:hAnsi="Arial"/>
                <w:sz w:val="18"/>
                <w:szCs w:val="18"/>
                <w:color w:val="auto"/>
              </w:rPr>
              <w:t>Stay, Extension and Usury Laws</w:t>
            </w:r>
          </w:p>
        </w:tc>
        <w:tc>
          <w:tcPr>
            <w:tcW w:w="1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4.07</w:t>
            </w:r>
          </w:p>
        </w:tc>
        <w:tc>
          <w:tcPr>
            <w:tcW w:w="8500" w:type="dxa"/>
            <w:vAlign w:val="bottom"/>
          </w:tcPr>
          <w:p>
            <w:pPr>
              <w:ind w:left="160"/>
              <w:spacing w:after="0"/>
              <w:rPr>
                <w:sz w:val="20"/>
                <w:szCs w:val="20"/>
                <w:color w:val="auto"/>
              </w:rPr>
            </w:pPr>
            <w:r>
              <w:rPr>
                <w:rFonts w:ascii="Arial" w:cs="Arial" w:eastAsia="Arial" w:hAnsi="Arial"/>
                <w:sz w:val="18"/>
                <w:szCs w:val="18"/>
                <w:color w:val="auto"/>
              </w:rPr>
              <w:t>Limitation on Restricted Payments</w:t>
            </w:r>
          </w:p>
        </w:tc>
        <w:tc>
          <w:tcPr>
            <w:tcW w:w="1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4.08</w:t>
            </w:r>
          </w:p>
        </w:tc>
        <w:tc>
          <w:tcPr>
            <w:tcW w:w="8500" w:type="dxa"/>
            <w:vAlign w:val="bottom"/>
          </w:tcPr>
          <w:p>
            <w:pPr>
              <w:ind w:left="160"/>
              <w:spacing w:after="0"/>
              <w:rPr>
                <w:sz w:val="20"/>
                <w:szCs w:val="20"/>
                <w:color w:val="auto"/>
              </w:rPr>
            </w:pPr>
            <w:r>
              <w:rPr>
                <w:rFonts w:ascii="Arial" w:cs="Arial" w:eastAsia="Arial" w:hAnsi="Arial"/>
                <w:sz w:val="18"/>
                <w:szCs w:val="18"/>
                <w:color w:val="auto"/>
              </w:rPr>
              <w:t>Dividend and Other Payment Restrictions Affecting Restricted Subsidiaries</w:t>
            </w:r>
          </w:p>
        </w:tc>
        <w:tc>
          <w:tcPr>
            <w:tcW w:w="1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4.09</w:t>
            </w:r>
          </w:p>
        </w:tc>
        <w:tc>
          <w:tcPr>
            <w:tcW w:w="8500" w:type="dxa"/>
            <w:vAlign w:val="bottom"/>
          </w:tcPr>
          <w:p>
            <w:pPr>
              <w:ind w:left="160"/>
              <w:spacing w:after="0"/>
              <w:rPr>
                <w:sz w:val="20"/>
                <w:szCs w:val="20"/>
                <w:color w:val="auto"/>
              </w:rPr>
            </w:pPr>
            <w:r>
              <w:rPr>
                <w:rFonts w:ascii="Arial" w:cs="Arial" w:eastAsia="Arial" w:hAnsi="Arial"/>
                <w:sz w:val="18"/>
                <w:szCs w:val="18"/>
                <w:color w:val="auto"/>
              </w:rPr>
              <w:t>Limitation on Incurrence of Indebtedness and Issuance of Disqualified Stock and Preferred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4.10</w:t>
            </w:r>
          </w:p>
        </w:tc>
        <w:tc>
          <w:tcPr>
            <w:tcW w:w="8500" w:type="dxa"/>
            <w:vAlign w:val="bottom"/>
          </w:tcPr>
          <w:p>
            <w:pPr>
              <w:ind w:left="160"/>
              <w:spacing w:after="0"/>
              <w:rPr>
                <w:sz w:val="20"/>
                <w:szCs w:val="20"/>
                <w:color w:val="auto"/>
              </w:rPr>
            </w:pPr>
            <w:r>
              <w:rPr>
                <w:rFonts w:ascii="Arial" w:cs="Arial" w:eastAsia="Arial" w:hAnsi="Arial"/>
                <w:sz w:val="18"/>
                <w:szCs w:val="18"/>
                <w:color w:val="auto"/>
              </w:rPr>
              <w:t>Asset Sales</w:t>
            </w:r>
          </w:p>
        </w:tc>
        <w:tc>
          <w:tcPr>
            <w:tcW w:w="1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4.11</w:t>
            </w:r>
          </w:p>
        </w:tc>
        <w:tc>
          <w:tcPr>
            <w:tcW w:w="850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c>
          <w:tcPr>
            <w:tcW w:w="1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4.12</w:t>
            </w:r>
          </w:p>
        </w:tc>
        <w:tc>
          <w:tcPr>
            <w:tcW w:w="8500" w:type="dxa"/>
            <w:vAlign w:val="bottom"/>
          </w:tcPr>
          <w:p>
            <w:pPr>
              <w:ind w:left="160"/>
              <w:spacing w:after="0"/>
              <w:rPr>
                <w:sz w:val="20"/>
                <w:szCs w:val="20"/>
                <w:color w:val="auto"/>
              </w:rPr>
            </w:pPr>
            <w:r>
              <w:rPr>
                <w:rFonts w:ascii="Arial" w:cs="Arial" w:eastAsia="Arial" w:hAnsi="Arial"/>
                <w:sz w:val="18"/>
                <w:szCs w:val="18"/>
                <w:color w:val="auto"/>
              </w:rPr>
              <w:t>Liens</w:t>
            </w:r>
          </w:p>
        </w:tc>
        <w:tc>
          <w:tcPr>
            <w:tcW w:w="1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4.13</w:t>
            </w:r>
          </w:p>
        </w:tc>
        <w:tc>
          <w:tcPr>
            <w:tcW w:w="8500" w:type="dxa"/>
            <w:vAlign w:val="bottom"/>
          </w:tcPr>
          <w:p>
            <w:pPr>
              <w:ind w:left="160"/>
              <w:spacing w:after="0"/>
              <w:rPr>
                <w:sz w:val="20"/>
                <w:szCs w:val="20"/>
                <w:color w:val="auto"/>
              </w:rPr>
            </w:pPr>
            <w:r>
              <w:rPr>
                <w:rFonts w:ascii="Arial" w:cs="Arial" w:eastAsia="Arial" w:hAnsi="Arial"/>
                <w:sz w:val="18"/>
                <w:szCs w:val="18"/>
                <w:color w:val="auto"/>
              </w:rPr>
              <w:t>Company Existence</w:t>
            </w:r>
          </w:p>
        </w:tc>
        <w:tc>
          <w:tcPr>
            <w:tcW w:w="1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4.14</w:t>
            </w:r>
          </w:p>
        </w:tc>
        <w:tc>
          <w:tcPr>
            <w:tcW w:w="8500" w:type="dxa"/>
            <w:vAlign w:val="bottom"/>
          </w:tcPr>
          <w:p>
            <w:pPr>
              <w:ind w:left="160"/>
              <w:spacing w:after="0"/>
              <w:rPr>
                <w:sz w:val="20"/>
                <w:szCs w:val="20"/>
                <w:color w:val="auto"/>
              </w:rPr>
            </w:pPr>
            <w:r>
              <w:rPr>
                <w:rFonts w:ascii="Arial" w:cs="Arial" w:eastAsia="Arial" w:hAnsi="Arial"/>
                <w:sz w:val="18"/>
                <w:szCs w:val="18"/>
                <w:color w:val="auto"/>
              </w:rPr>
              <w:t>Offer to Repurchase Upon Change of Control</w:t>
            </w:r>
          </w:p>
        </w:tc>
        <w:tc>
          <w:tcPr>
            <w:tcW w:w="1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4.15</w:t>
            </w:r>
          </w:p>
        </w:tc>
        <w:tc>
          <w:tcPr>
            <w:tcW w:w="8500" w:type="dxa"/>
            <w:vAlign w:val="bottom"/>
          </w:tcPr>
          <w:p>
            <w:pPr>
              <w:ind w:left="160"/>
              <w:spacing w:after="0"/>
              <w:rPr>
                <w:sz w:val="20"/>
                <w:szCs w:val="20"/>
                <w:color w:val="auto"/>
              </w:rPr>
            </w:pPr>
            <w:r>
              <w:rPr>
                <w:rFonts w:ascii="Arial" w:cs="Arial" w:eastAsia="Arial" w:hAnsi="Arial"/>
                <w:sz w:val="18"/>
                <w:szCs w:val="18"/>
                <w:color w:val="auto"/>
              </w:rPr>
              <w:t>Limitation on Guarantees of Indebtedness by Restricted Subsidiaries</w:t>
            </w:r>
          </w:p>
        </w:tc>
        <w:tc>
          <w:tcPr>
            <w:tcW w:w="15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4.16</w:t>
            </w:r>
          </w:p>
        </w:tc>
        <w:tc>
          <w:tcPr>
            <w:tcW w:w="8500" w:type="dxa"/>
            <w:vAlign w:val="bottom"/>
          </w:tcPr>
          <w:p>
            <w:pPr>
              <w:ind w:left="160"/>
              <w:spacing w:after="0"/>
              <w:rPr>
                <w:sz w:val="20"/>
                <w:szCs w:val="20"/>
                <w:color w:val="auto"/>
              </w:rPr>
            </w:pPr>
            <w:r>
              <w:rPr>
                <w:rFonts w:ascii="Arial" w:cs="Arial" w:eastAsia="Arial" w:hAnsi="Arial"/>
                <w:sz w:val="18"/>
                <w:szCs w:val="18"/>
                <w:color w:val="auto"/>
              </w:rPr>
              <w:t>Suspension of Covenants</w:t>
            </w:r>
          </w:p>
        </w:tc>
        <w:tc>
          <w:tcPr>
            <w:tcW w:w="15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0"/>
        </w:trPr>
        <w:tc>
          <w:tcPr>
            <w:tcW w:w="1300" w:type="dxa"/>
            <w:vAlign w:val="bottom"/>
          </w:tcPr>
          <w:p>
            <w:pPr>
              <w:spacing w:after="0"/>
              <w:rPr>
                <w:sz w:val="24"/>
                <w:szCs w:val="24"/>
                <w:color w:val="auto"/>
              </w:rPr>
            </w:pPr>
          </w:p>
        </w:tc>
        <w:tc>
          <w:tcPr>
            <w:tcW w:w="8500" w:type="dxa"/>
            <w:vAlign w:val="bottom"/>
          </w:tcPr>
          <w:p>
            <w:pPr>
              <w:jc w:val="center"/>
              <w:ind w:left="130"/>
              <w:spacing w:after="0"/>
              <w:rPr>
                <w:sz w:val="20"/>
                <w:szCs w:val="20"/>
                <w:color w:val="auto"/>
              </w:rPr>
            </w:pPr>
            <w:r>
              <w:rPr>
                <w:rFonts w:ascii="Arial" w:cs="Arial" w:eastAsia="Arial" w:hAnsi="Arial"/>
                <w:sz w:val="18"/>
                <w:szCs w:val="18"/>
                <w:color w:val="auto"/>
                <w:w w:val="98"/>
              </w:rPr>
              <w:t>ARTICLE V</w:t>
            </w:r>
          </w:p>
        </w:tc>
        <w:tc>
          <w:tcPr>
            <w:tcW w:w="152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8500" w:type="dxa"/>
            <w:vAlign w:val="bottom"/>
          </w:tcPr>
          <w:p>
            <w:pPr>
              <w:jc w:val="center"/>
              <w:ind w:left="150"/>
              <w:spacing w:after="0"/>
              <w:rPr>
                <w:sz w:val="20"/>
                <w:szCs w:val="20"/>
                <w:color w:val="auto"/>
              </w:rPr>
            </w:pPr>
            <w:r>
              <w:rPr>
                <w:rFonts w:ascii="Arial" w:cs="Arial" w:eastAsia="Arial" w:hAnsi="Arial"/>
                <w:sz w:val="18"/>
                <w:szCs w:val="18"/>
                <w:color w:val="auto"/>
                <w:w w:val="90"/>
              </w:rPr>
              <w:t>SUCCESSORS</w:t>
            </w:r>
          </w:p>
        </w:tc>
        <w:tc>
          <w:tcPr>
            <w:tcW w:w="1520" w:type="dxa"/>
            <w:vAlign w:val="bottom"/>
          </w:tcPr>
          <w:p>
            <w:pPr>
              <w:spacing w:after="0"/>
              <w:rPr>
                <w:sz w:val="20"/>
                <w:szCs w:val="20"/>
                <w:color w:val="auto"/>
              </w:rPr>
            </w:pPr>
          </w:p>
        </w:tc>
      </w:tr>
      <w:tr>
        <w:trPr>
          <w:trHeight w:val="269"/>
        </w:trPr>
        <w:tc>
          <w:tcPr>
            <w:tcW w:w="1300" w:type="dxa"/>
            <w:vAlign w:val="bottom"/>
          </w:tcPr>
          <w:p>
            <w:pPr>
              <w:spacing w:after="0"/>
              <w:rPr>
                <w:sz w:val="20"/>
                <w:szCs w:val="20"/>
                <w:color w:val="auto"/>
              </w:rPr>
            </w:pPr>
            <w:r>
              <w:rPr>
                <w:rFonts w:ascii="Arial" w:cs="Arial" w:eastAsia="Arial" w:hAnsi="Arial"/>
                <w:sz w:val="18"/>
                <w:szCs w:val="18"/>
                <w:color w:val="auto"/>
              </w:rPr>
              <w:t>SECTION 5.01</w:t>
            </w:r>
          </w:p>
        </w:tc>
        <w:tc>
          <w:tcPr>
            <w:tcW w:w="8500" w:type="dxa"/>
            <w:vAlign w:val="bottom"/>
          </w:tcPr>
          <w:p>
            <w:pPr>
              <w:ind w:left="160"/>
              <w:spacing w:after="0"/>
              <w:rPr>
                <w:sz w:val="20"/>
                <w:szCs w:val="20"/>
                <w:color w:val="auto"/>
              </w:rPr>
            </w:pPr>
            <w:r>
              <w:rPr>
                <w:rFonts w:ascii="Arial" w:cs="Arial" w:eastAsia="Arial" w:hAnsi="Arial"/>
                <w:sz w:val="18"/>
                <w:szCs w:val="18"/>
                <w:color w:val="auto"/>
              </w:rPr>
              <w:t>Merger, Consolidation or Sale of All or Substantially All Assets</w:t>
            </w:r>
          </w:p>
        </w:tc>
        <w:tc>
          <w:tcPr>
            <w:tcW w:w="1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5.02</w:t>
            </w:r>
          </w:p>
        </w:tc>
        <w:tc>
          <w:tcPr>
            <w:tcW w:w="8500" w:type="dxa"/>
            <w:vAlign w:val="bottom"/>
          </w:tcPr>
          <w:p>
            <w:pPr>
              <w:ind w:left="160"/>
              <w:spacing w:after="0"/>
              <w:rPr>
                <w:sz w:val="20"/>
                <w:szCs w:val="20"/>
                <w:color w:val="auto"/>
              </w:rPr>
            </w:pPr>
            <w:r>
              <w:rPr>
                <w:rFonts w:ascii="Arial" w:cs="Arial" w:eastAsia="Arial" w:hAnsi="Arial"/>
                <w:sz w:val="18"/>
                <w:szCs w:val="18"/>
                <w:color w:val="auto"/>
              </w:rPr>
              <w:t>Successor Corporation Substituted</w:t>
            </w:r>
          </w:p>
        </w:tc>
        <w:tc>
          <w:tcPr>
            <w:tcW w:w="1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0"/>
        </w:trPr>
        <w:tc>
          <w:tcPr>
            <w:tcW w:w="1300" w:type="dxa"/>
            <w:vAlign w:val="bottom"/>
          </w:tcPr>
          <w:p>
            <w:pPr>
              <w:spacing w:after="0"/>
              <w:rPr>
                <w:sz w:val="24"/>
                <w:szCs w:val="24"/>
                <w:color w:val="auto"/>
              </w:rPr>
            </w:pPr>
          </w:p>
        </w:tc>
        <w:tc>
          <w:tcPr>
            <w:tcW w:w="8500" w:type="dxa"/>
            <w:vAlign w:val="bottom"/>
          </w:tcPr>
          <w:p>
            <w:pPr>
              <w:jc w:val="center"/>
              <w:ind w:left="150"/>
              <w:spacing w:after="0"/>
              <w:rPr>
                <w:sz w:val="20"/>
                <w:szCs w:val="20"/>
                <w:color w:val="auto"/>
              </w:rPr>
            </w:pPr>
            <w:r>
              <w:rPr>
                <w:rFonts w:ascii="Arial" w:cs="Arial" w:eastAsia="Arial" w:hAnsi="Arial"/>
                <w:sz w:val="18"/>
                <w:szCs w:val="18"/>
                <w:color w:val="auto"/>
                <w:w w:val="99"/>
              </w:rPr>
              <w:t>ARTICLE VI</w:t>
            </w:r>
          </w:p>
        </w:tc>
        <w:tc>
          <w:tcPr>
            <w:tcW w:w="152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8500" w:type="dxa"/>
            <w:vAlign w:val="bottom"/>
          </w:tcPr>
          <w:p>
            <w:pPr>
              <w:jc w:val="center"/>
              <w:ind w:left="150"/>
              <w:spacing w:after="0"/>
              <w:rPr>
                <w:sz w:val="20"/>
                <w:szCs w:val="20"/>
                <w:color w:val="auto"/>
              </w:rPr>
            </w:pPr>
            <w:r>
              <w:rPr>
                <w:rFonts w:ascii="Arial" w:cs="Arial" w:eastAsia="Arial" w:hAnsi="Arial"/>
                <w:sz w:val="18"/>
                <w:szCs w:val="18"/>
                <w:color w:val="auto"/>
                <w:w w:val="95"/>
              </w:rPr>
              <w:t>DEFAULTS AND REMEDIES</w:t>
            </w:r>
          </w:p>
        </w:tc>
        <w:tc>
          <w:tcPr>
            <w:tcW w:w="1520" w:type="dxa"/>
            <w:vAlign w:val="bottom"/>
          </w:tcPr>
          <w:p>
            <w:pPr>
              <w:spacing w:after="0"/>
              <w:rPr>
                <w:sz w:val="20"/>
                <w:szCs w:val="20"/>
                <w:color w:val="auto"/>
              </w:rPr>
            </w:pPr>
          </w:p>
        </w:tc>
      </w:tr>
      <w:tr>
        <w:trPr>
          <w:trHeight w:val="269"/>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850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1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6.02</w:t>
            </w:r>
          </w:p>
        </w:tc>
        <w:tc>
          <w:tcPr>
            <w:tcW w:w="8500" w:type="dxa"/>
            <w:vAlign w:val="bottom"/>
          </w:tcPr>
          <w:p>
            <w:pPr>
              <w:ind w:left="160"/>
              <w:spacing w:after="0"/>
              <w:rPr>
                <w:sz w:val="20"/>
                <w:szCs w:val="20"/>
                <w:color w:val="auto"/>
              </w:rPr>
            </w:pPr>
            <w:r>
              <w:rPr>
                <w:rFonts w:ascii="Arial" w:cs="Arial" w:eastAsia="Arial" w:hAnsi="Arial"/>
                <w:sz w:val="18"/>
                <w:szCs w:val="18"/>
                <w:color w:val="auto"/>
              </w:rPr>
              <w:t>Acceleration</w:t>
            </w:r>
          </w:p>
        </w:tc>
        <w:tc>
          <w:tcPr>
            <w:tcW w:w="1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6.03</w:t>
            </w:r>
          </w:p>
        </w:tc>
        <w:tc>
          <w:tcPr>
            <w:tcW w:w="8500" w:type="dxa"/>
            <w:vAlign w:val="bottom"/>
          </w:tcPr>
          <w:p>
            <w:pPr>
              <w:ind w:left="160"/>
              <w:spacing w:after="0"/>
              <w:rPr>
                <w:sz w:val="20"/>
                <w:szCs w:val="20"/>
                <w:color w:val="auto"/>
              </w:rPr>
            </w:pPr>
            <w:r>
              <w:rPr>
                <w:rFonts w:ascii="Arial" w:cs="Arial" w:eastAsia="Arial" w:hAnsi="Arial"/>
                <w:sz w:val="18"/>
                <w:szCs w:val="18"/>
                <w:color w:val="auto"/>
              </w:rPr>
              <w:t>Other Remedies</w:t>
            </w: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6.04</w:t>
            </w:r>
          </w:p>
        </w:tc>
        <w:tc>
          <w:tcPr>
            <w:tcW w:w="8500" w:type="dxa"/>
            <w:vAlign w:val="bottom"/>
          </w:tcPr>
          <w:p>
            <w:pPr>
              <w:ind w:left="160"/>
              <w:spacing w:after="0"/>
              <w:rPr>
                <w:sz w:val="20"/>
                <w:szCs w:val="20"/>
                <w:color w:val="auto"/>
              </w:rPr>
            </w:pPr>
            <w:r>
              <w:rPr>
                <w:rFonts w:ascii="Arial" w:cs="Arial" w:eastAsia="Arial" w:hAnsi="Arial"/>
                <w:sz w:val="18"/>
                <w:szCs w:val="18"/>
                <w:color w:val="auto"/>
              </w:rPr>
              <w:t>Waiver of Past Defaults</w:t>
            </w: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6.05</w:t>
            </w:r>
          </w:p>
        </w:tc>
        <w:tc>
          <w:tcPr>
            <w:tcW w:w="8500" w:type="dxa"/>
            <w:vAlign w:val="bottom"/>
          </w:tcPr>
          <w:p>
            <w:pPr>
              <w:ind w:left="160"/>
              <w:spacing w:after="0"/>
              <w:rPr>
                <w:sz w:val="20"/>
                <w:szCs w:val="20"/>
                <w:color w:val="auto"/>
              </w:rPr>
            </w:pPr>
            <w:r>
              <w:rPr>
                <w:rFonts w:ascii="Arial" w:cs="Arial" w:eastAsia="Arial" w:hAnsi="Arial"/>
                <w:sz w:val="18"/>
                <w:szCs w:val="18"/>
                <w:color w:val="auto"/>
              </w:rPr>
              <w:t>Control by Majority</w:t>
            </w: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6.06</w:t>
            </w:r>
          </w:p>
        </w:tc>
        <w:tc>
          <w:tcPr>
            <w:tcW w:w="8500" w:type="dxa"/>
            <w:vAlign w:val="bottom"/>
          </w:tcPr>
          <w:p>
            <w:pPr>
              <w:ind w:left="160"/>
              <w:spacing w:after="0"/>
              <w:rPr>
                <w:sz w:val="20"/>
                <w:szCs w:val="20"/>
                <w:color w:val="auto"/>
              </w:rPr>
            </w:pPr>
            <w:r>
              <w:rPr>
                <w:rFonts w:ascii="Arial" w:cs="Arial" w:eastAsia="Arial" w:hAnsi="Arial"/>
                <w:sz w:val="18"/>
                <w:szCs w:val="18"/>
                <w:color w:val="auto"/>
              </w:rPr>
              <w:t>Limitation on Suits</w:t>
            </w:r>
          </w:p>
        </w:tc>
        <w:tc>
          <w:tcPr>
            <w:tcW w:w="15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6.07</w:t>
            </w:r>
          </w:p>
        </w:tc>
        <w:tc>
          <w:tcPr>
            <w:tcW w:w="8500" w:type="dxa"/>
            <w:vAlign w:val="bottom"/>
          </w:tcPr>
          <w:p>
            <w:pPr>
              <w:ind w:left="160"/>
              <w:spacing w:after="0"/>
              <w:rPr>
                <w:sz w:val="20"/>
                <w:szCs w:val="20"/>
                <w:color w:val="auto"/>
              </w:rPr>
            </w:pPr>
            <w:r>
              <w:rPr>
                <w:rFonts w:ascii="Arial" w:cs="Arial" w:eastAsia="Arial" w:hAnsi="Arial"/>
                <w:sz w:val="18"/>
                <w:szCs w:val="18"/>
                <w:color w:val="auto"/>
              </w:rPr>
              <w:t>Rights of Holders of Notes to Receive Payment</w:t>
            </w:r>
          </w:p>
        </w:tc>
        <w:tc>
          <w:tcPr>
            <w:tcW w:w="15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6.08</w:t>
            </w:r>
          </w:p>
        </w:tc>
        <w:tc>
          <w:tcPr>
            <w:tcW w:w="8500" w:type="dxa"/>
            <w:vAlign w:val="bottom"/>
          </w:tcPr>
          <w:p>
            <w:pPr>
              <w:ind w:left="160"/>
              <w:spacing w:after="0"/>
              <w:rPr>
                <w:sz w:val="20"/>
                <w:szCs w:val="20"/>
                <w:color w:val="auto"/>
              </w:rPr>
            </w:pPr>
            <w:r>
              <w:rPr>
                <w:rFonts w:ascii="Arial" w:cs="Arial" w:eastAsia="Arial" w:hAnsi="Arial"/>
                <w:sz w:val="18"/>
                <w:szCs w:val="18"/>
                <w:color w:val="auto"/>
              </w:rPr>
              <w:t>Collection Suit by Trustee</w:t>
            </w:r>
          </w:p>
        </w:tc>
        <w:tc>
          <w:tcPr>
            <w:tcW w:w="15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6.09</w:t>
            </w:r>
          </w:p>
        </w:tc>
        <w:tc>
          <w:tcPr>
            <w:tcW w:w="8500" w:type="dxa"/>
            <w:vAlign w:val="bottom"/>
          </w:tcPr>
          <w:p>
            <w:pPr>
              <w:ind w:left="160"/>
              <w:spacing w:after="0"/>
              <w:rPr>
                <w:sz w:val="20"/>
                <w:szCs w:val="20"/>
                <w:color w:val="auto"/>
              </w:rPr>
            </w:pPr>
            <w:r>
              <w:rPr>
                <w:rFonts w:ascii="Arial" w:cs="Arial" w:eastAsia="Arial" w:hAnsi="Arial"/>
                <w:sz w:val="18"/>
                <w:szCs w:val="18"/>
                <w:color w:val="auto"/>
              </w:rPr>
              <w:t>Restoration of Rights and Remedies</w:t>
            </w:r>
          </w:p>
        </w:tc>
        <w:tc>
          <w:tcPr>
            <w:tcW w:w="15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6.10</w:t>
            </w:r>
          </w:p>
        </w:tc>
        <w:tc>
          <w:tcPr>
            <w:tcW w:w="8500" w:type="dxa"/>
            <w:vAlign w:val="bottom"/>
          </w:tcPr>
          <w:p>
            <w:pPr>
              <w:ind w:left="160"/>
              <w:spacing w:after="0"/>
              <w:rPr>
                <w:sz w:val="20"/>
                <w:szCs w:val="20"/>
                <w:color w:val="auto"/>
              </w:rPr>
            </w:pPr>
            <w:r>
              <w:rPr>
                <w:rFonts w:ascii="Arial" w:cs="Arial" w:eastAsia="Arial" w:hAnsi="Arial"/>
                <w:sz w:val="18"/>
                <w:szCs w:val="18"/>
                <w:color w:val="auto"/>
              </w:rPr>
              <w:t>Rights and Remedies Cumulative</w:t>
            </w:r>
          </w:p>
        </w:tc>
        <w:tc>
          <w:tcPr>
            <w:tcW w:w="15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6.11</w:t>
            </w:r>
          </w:p>
        </w:tc>
        <w:tc>
          <w:tcPr>
            <w:tcW w:w="8500" w:type="dxa"/>
            <w:vAlign w:val="bottom"/>
          </w:tcPr>
          <w:p>
            <w:pPr>
              <w:ind w:left="160"/>
              <w:spacing w:after="0"/>
              <w:rPr>
                <w:sz w:val="20"/>
                <w:szCs w:val="20"/>
                <w:color w:val="auto"/>
              </w:rPr>
            </w:pPr>
            <w:r>
              <w:rPr>
                <w:rFonts w:ascii="Arial" w:cs="Arial" w:eastAsia="Arial" w:hAnsi="Arial"/>
                <w:sz w:val="18"/>
                <w:szCs w:val="18"/>
                <w:color w:val="auto"/>
              </w:rPr>
              <w:t>Delay or Omission Not Waiver</w:t>
            </w:r>
          </w:p>
        </w:tc>
        <w:tc>
          <w:tcPr>
            <w:tcW w:w="15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6.12</w:t>
            </w:r>
          </w:p>
        </w:tc>
        <w:tc>
          <w:tcPr>
            <w:tcW w:w="8500" w:type="dxa"/>
            <w:vAlign w:val="bottom"/>
          </w:tcPr>
          <w:p>
            <w:pPr>
              <w:ind w:left="160"/>
              <w:spacing w:after="0"/>
              <w:rPr>
                <w:sz w:val="20"/>
                <w:szCs w:val="20"/>
                <w:color w:val="auto"/>
              </w:rPr>
            </w:pPr>
            <w:r>
              <w:rPr>
                <w:rFonts w:ascii="Arial" w:cs="Arial" w:eastAsia="Arial" w:hAnsi="Arial"/>
                <w:sz w:val="18"/>
                <w:szCs w:val="18"/>
                <w:color w:val="auto"/>
              </w:rPr>
              <w:t>Trustee May File Proofs of Claim</w:t>
            </w:r>
          </w:p>
        </w:tc>
        <w:tc>
          <w:tcPr>
            <w:tcW w:w="1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6.13</w:t>
            </w:r>
          </w:p>
        </w:tc>
        <w:tc>
          <w:tcPr>
            <w:tcW w:w="8500" w:type="dxa"/>
            <w:vAlign w:val="bottom"/>
          </w:tcPr>
          <w:p>
            <w:pPr>
              <w:ind w:left="160"/>
              <w:spacing w:after="0"/>
              <w:rPr>
                <w:sz w:val="20"/>
                <w:szCs w:val="20"/>
                <w:color w:val="auto"/>
              </w:rPr>
            </w:pPr>
            <w:r>
              <w:rPr>
                <w:rFonts w:ascii="Arial" w:cs="Arial" w:eastAsia="Arial" w:hAnsi="Arial"/>
                <w:sz w:val="18"/>
                <w:szCs w:val="18"/>
                <w:color w:val="auto"/>
              </w:rPr>
              <w:t>Priorities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6.14</w:t>
            </w:r>
          </w:p>
        </w:tc>
        <w:tc>
          <w:tcPr>
            <w:tcW w:w="8500" w:type="dxa"/>
            <w:vAlign w:val="bottom"/>
          </w:tcPr>
          <w:p>
            <w:pPr>
              <w:ind w:left="160"/>
              <w:spacing w:after="0"/>
              <w:rPr>
                <w:sz w:val="20"/>
                <w:szCs w:val="20"/>
                <w:color w:val="auto"/>
              </w:rPr>
            </w:pPr>
            <w:r>
              <w:rPr>
                <w:rFonts w:ascii="Arial" w:cs="Arial" w:eastAsia="Arial" w:hAnsi="Arial"/>
                <w:sz w:val="18"/>
                <w:szCs w:val="18"/>
                <w:color w:val="auto"/>
              </w:rPr>
              <w:t>Undertaking for Costs</w:t>
            </w:r>
          </w:p>
        </w:tc>
        <w:tc>
          <w:tcPr>
            <w:tcW w:w="152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382"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7980" w:type="dxa"/>
            <w:vAlign w:val="bottom"/>
          </w:tcPr>
          <w:p>
            <w:pPr>
              <w:jc w:val="center"/>
              <w:ind w:left="50"/>
              <w:spacing w:after="0"/>
              <w:rPr>
                <w:sz w:val="20"/>
                <w:szCs w:val="20"/>
                <w:color w:val="auto"/>
              </w:rPr>
            </w:pPr>
            <w:r>
              <w:rPr>
                <w:rFonts w:ascii="Arial" w:cs="Arial" w:eastAsia="Arial" w:hAnsi="Arial"/>
                <w:sz w:val="18"/>
                <w:szCs w:val="18"/>
                <w:color w:val="auto"/>
              </w:rPr>
              <w:t>ARTICLE VII</w:t>
            </w:r>
          </w:p>
        </w:tc>
        <w:tc>
          <w:tcPr>
            <w:tcW w:w="166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7980" w:type="dxa"/>
            <w:vAlign w:val="bottom"/>
          </w:tcPr>
          <w:p>
            <w:pPr>
              <w:jc w:val="center"/>
              <w:ind w:left="50"/>
              <w:spacing w:after="0"/>
              <w:rPr>
                <w:sz w:val="20"/>
                <w:szCs w:val="20"/>
                <w:color w:val="auto"/>
              </w:rPr>
            </w:pPr>
            <w:r>
              <w:rPr>
                <w:rFonts w:ascii="Arial" w:cs="Arial" w:eastAsia="Arial" w:hAnsi="Arial"/>
                <w:sz w:val="18"/>
                <w:szCs w:val="18"/>
                <w:color w:val="auto"/>
                <w:w w:val="95"/>
              </w:rPr>
              <w:t>TRUSTEE</w:t>
            </w:r>
          </w:p>
        </w:tc>
        <w:tc>
          <w:tcPr>
            <w:tcW w:w="1660" w:type="dxa"/>
            <w:vAlign w:val="bottom"/>
          </w:tcPr>
          <w:p>
            <w:pPr>
              <w:spacing w:after="0"/>
              <w:rPr>
                <w:sz w:val="20"/>
                <w:szCs w:val="20"/>
                <w:color w:val="auto"/>
              </w:rPr>
            </w:pPr>
          </w:p>
        </w:tc>
      </w:tr>
      <w:tr>
        <w:trPr>
          <w:trHeight w:val="269"/>
        </w:trPr>
        <w:tc>
          <w:tcPr>
            <w:tcW w:w="1520" w:type="dxa"/>
            <w:vAlign w:val="bottom"/>
          </w:tcPr>
          <w:p>
            <w:pPr>
              <w:spacing w:after="0"/>
              <w:rPr>
                <w:sz w:val="20"/>
                <w:szCs w:val="20"/>
                <w:color w:val="auto"/>
              </w:rPr>
            </w:pPr>
            <w:r>
              <w:rPr>
                <w:rFonts w:ascii="Arial" w:cs="Arial" w:eastAsia="Arial" w:hAnsi="Arial"/>
                <w:sz w:val="18"/>
                <w:szCs w:val="18"/>
                <w:color w:val="auto"/>
              </w:rPr>
              <w:t>SECTION 7.01</w:t>
            </w:r>
          </w:p>
        </w:tc>
        <w:tc>
          <w:tcPr>
            <w:tcW w:w="7980" w:type="dxa"/>
            <w:vAlign w:val="bottom"/>
          </w:tcPr>
          <w:p>
            <w:pPr>
              <w:ind w:left="300"/>
              <w:spacing w:after="0"/>
              <w:rPr>
                <w:sz w:val="20"/>
                <w:szCs w:val="20"/>
                <w:color w:val="auto"/>
              </w:rPr>
            </w:pPr>
            <w:r>
              <w:rPr>
                <w:rFonts w:ascii="Arial" w:cs="Arial" w:eastAsia="Arial" w:hAnsi="Arial"/>
                <w:sz w:val="18"/>
                <w:szCs w:val="18"/>
                <w:color w:val="auto"/>
              </w:rPr>
              <w:t>Duties of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7.02</w:t>
            </w:r>
          </w:p>
        </w:tc>
        <w:tc>
          <w:tcPr>
            <w:tcW w:w="7980" w:type="dxa"/>
            <w:vAlign w:val="bottom"/>
          </w:tcPr>
          <w:p>
            <w:pPr>
              <w:ind w:left="300"/>
              <w:spacing w:after="0"/>
              <w:rPr>
                <w:sz w:val="20"/>
                <w:szCs w:val="20"/>
                <w:color w:val="auto"/>
              </w:rPr>
            </w:pPr>
            <w:r>
              <w:rPr>
                <w:rFonts w:ascii="Arial" w:cs="Arial" w:eastAsia="Arial" w:hAnsi="Arial"/>
                <w:sz w:val="18"/>
                <w:szCs w:val="18"/>
                <w:color w:val="auto"/>
              </w:rPr>
              <w:t>Rights of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7.03</w:t>
            </w:r>
          </w:p>
        </w:tc>
        <w:tc>
          <w:tcPr>
            <w:tcW w:w="7980" w:type="dxa"/>
            <w:vAlign w:val="bottom"/>
          </w:tcPr>
          <w:p>
            <w:pPr>
              <w:ind w:left="300"/>
              <w:spacing w:after="0"/>
              <w:rPr>
                <w:sz w:val="20"/>
                <w:szCs w:val="20"/>
                <w:color w:val="auto"/>
              </w:rPr>
            </w:pPr>
            <w:r>
              <w:rPr>
                <w:rFonts w:ascii="Arial" w:cs="Arial" w:eastAsia="Arial" w:hAnsi="Arial"/>
                <w:sz w:val="18"/>
                <w:szCs w:val="18"/>
                <w:color w:val="auto"/>
              </w:rPr>
              <w:t>Individual Rights of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7.04</w:t>
            </w:r>
          </w:p>
        </w:tc>
        <w:tc>
          <w:tcPr>
            <w:tcW w:w="7980" w:type="dxa"/>
            <w:vAlign w:val="bottom"/>
          </w:tcPr>
          <w:p>
            <w:pPr>
              <w:ind w:left="300"/>
              <w:spacing w:after="0"/>
              <w:rPr>
                <w:sz w:val="20"/>
                <w:szCs w:val="20"/>
                <w:color w:val="auto"/>
              </w:rPr>
            </w:pPr>
            <w:r>
              <w:rPr>
                <w:rFonts w:ascii="Arial" w:cs="Arial" w:eastAsia="Arial" w:hAnsi="Arial"/>
                <w:sz w:val="18"/>
                <w:szCs w:val="18"/>
                <w:color w:val="auto"/>
              </w:rPr>
              <w:t>Trustee’s Disclaimer</w:t>
            </w:r>
          </w:p>
        </w:tc>
        <w:tc>
          <w:tcPr>
            <w:tcW w:w="16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7.05</w:t>
            </w:r>
          </w:p>
        </w:tc>
        <w:tc>
          <w:tcPr>
            <w:tcW w:w="7980" w:type="dxa"/>
            <w:vAlign w:val="bottom"/>
          </w:tcPr>
          <w:p>
            <w:pPr>
              <w:ind w:left="300"/>
              <w:spacing w:after="0"/>
              <w:rPr>
                <w:sz w:val="20"/>
                <w:szCs w:val="20"/>
                <w:color w:val="auto"/>
              </w:rPr>
            </w:pPr>
            <w:r>
              <w:rPr>
                <w:rFonts w:ascii="Arial" w:cs="Arial" w:eastAsia="Arial" w:hAnsi="Arial"/>
                <w:sz w:val="18"/>
                <w:szCs w:val="18"/>
                <w:color w:val="auto"/>
              </w:rPr>
              <w:t>Notice of Defaults</w:t>
            </w:r>
          </w:p>
        </w:tc>
        <w:tc>
          <w:tcPr>
            <w:tcW w:w="16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7.06</w:t>
            </w:r>
          </w:p>
        </w:tc>
        <w:tc>
          <w:tcPr>
            <w:tcW w:w="7980" w:type="dxa"/>
            <w:vAlign w:val="bottom"/>
          </w:tcPr>
          <w:p>
            <w:pPr>
              <w:ind w:left="300"/>
              <w:spacing w:after="0"/>
              <w:rPr>
                <w:sz w:val="20"/>
                <w:szCs w:val="20"/>
                <w:color w:val="auto"/>
              </w:rPr>
            </w:pPr>
            <w:r>
              <w:rPr>
                <w:rFonts w:ascii="Arial" w:cs="Arial" w:eastAsia="Arial" w:hAnsi="Arial"/>
                <w:sz w:val="18"/>
                <w:szCs w:val="18"/>
                <w:color w:val="auto"/>
              </w:rPr>
              <w:t>Compensation and Indemnity</w:t>
            </w:r>
          </w:p>
        </w:tc>
        <w:tc>
          <w:tcPr>
            <w:tcW w:w="16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7.07</w:t>
            </w:r>
          </w:p>
        </w:tc>
        <w:tc>
          <w:tcPr>
            <w:tcW w:w="7980" w:type="dxa"/>
            <w:vAlign w:val="bottom"/>
          </w:tcPr>
          <w:p>
            <w:pPr>
              <w:ind w:left="300"/>
              <w:spacing w:after="0"/>
              <w:rPr>
                <w:sz w:val="20"/>
                <w:szCs w:val="20"/>
                <w:color w:val="auto"/>
              </w:rPr>
            </w:pPr>
            <w:r>
              <w:rPr>
                <w:rFonts w:ascii="Arial" w:cs="Arial" w:eastAsia="Arial" w:hAnsi="Arial"/>
                <w:sz w:val="18"/>
                <w:szCs w:val="18"/>
                <w:color w:val="auto"/>
              </w:rPr>
              <w:t>Replacement of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7.08</w:t>
            </w:r>
          </w:p>
        </w:tc>
        <w:tc>
          <w:tcPr>
            <w:tcW w:w="7980" w:type="dxa"/>
            <w:vAlign w:val="bottom"/>
          </w:tcPr>
          <w:p>
            <w:pPr>
              <w:ind w:left="300"/>
              <w:spacing w:after="0"/>
              <w:rPr>
                <w:sz w:val="20"/>
                <w:szCs w:val="20"/>
                <w:color w:val="auto"/>
              </w:rPr>
            </w:pPr>
            <w:r>
              <w:rPr>
                <w:rFonts w:ascii="Arial" w:cs="Arial" w:eastAsia="Arial" w:hAnsi="Arial"/>
                <w:sz w:val="18"/>
                <w:szCs w:val="18"/>
                <w:color w:val="auto"/>
              </w:rPr>
              <w:t>Successor Trustee by Merger, etc.</w:t>
            </w:r>
          </w:p>
        </w:tc>
        <w:tc>
          <w:tcPr>
            <w:tcW w:w="16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7.09</w:t>
            </w:r>
          </w:p>
        </w:tc>
        <w:tc>
          <w:tcPr>
            <w:tcW w:w="7980" w:type="dxa"/>
            <w:vAlign w:val="bottom"/>
          </w:tcPr>
          <w:p>
            <w:pPr>
              <w:ind w:left="300"/>
              <w:spacing w:after="0"/>
              <w:rPr>
                <w:sz w:val="20"/>
                <w:szCs w:val="20"/>
                <w:color w:val="auto"/>
              </w:rPr>
            </w:pPr>
            <w:r>
              <w:rPr>
                <w:rFonts w:ascii="Arial" w:cs="Arial" w:eastAsia="Arial" w:hAnsi="Arial"/>
                <w:sz w:val="18"/>
                <w:szCs w:val="18"/>
                <w:color w:val="auto"/>
              </w:rPr>
              <w:t>Incumbency Certificate; Specimen Signatures</w:t>
            </w:r>
          </w:p>
        </w:tc>
        <w:tc>
          <w:tcPr>
            <w:tcW w:w="1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10"/>
        </w:trPr>
        <w:tc>
          <w:tcPr>
            <w:tcW w:w="1520" w:type="dxa"/>
            <w:vAlign w:val="bottom"/>
          </w:tcPr>
          <w:p>
            <w:pPr>
              <w:spacing w:after="0"/>
              <w:rPr>
                <w:sz w:val="24"/>
                <w:szCs w:val="24"/>
                <w:color w:val="auto"/>
              </w:rPr>
            </w:pPr>
          </w:p>
        </w:tc>
        <w:tc>
          <w:tcPr>
            <w:tcW w:w="7980" w:type="dxa"/>
            <w:vAlign w:val="bottom"/>
          </w:tcPr>
          <w:p>
            <w:pPr>
              <w:jc w:val="center"/>
              <w:ind w:left="50"/>
              <w:spacing w:after="0"/>
              <w:rPr>
                <w:sz w:val="20"/>
                <w:szCs w:val="20"/>
                <w:color w:val="auto"/>
              </w:rPr>
            </w:pPr>
            <w:r>
              <w:rPr>
                <w:rFonts w:ascii="Arial" w:cs="Arial" w:eastAsia="Arial" w:hAnsi="Arial"/>
                <w:sz w:val="18"/>
                <w:szCs w:val="18"/>
                <w:color w:val="auto"/>
              </w:rPr>
              <w:t>ARTICLE VIII</w:t>
            </w:r>
          </w:p>
        </w:tc>
        <w:tc>
          <w:tcPr>
            <w:tcW w:w="1660" w:type="dxa"/>
            <w:vAlign w:val="bottom"/>
          </w:tcPr>
          <w:p>
            <w:pPr>
              <w:spacing w:after="0"/>
              <w:rPr>
                <w:sz w:val="24"/>
                <w:szCs w:val="24"/>
                <w:color w:val="auto"/>
              </w:rPr>
            </w:pPr>
          </w:p>
        </w:tc>
      </w:tr>
      <w:tr>
        <w:trPr>
          <w:trHeight w:val="230"/>
        </w:trPr>
        <w:tc>
          <w:tcPr>
            <w:tcW w:w="1520" w:type="dxa"/>
            <w:vAlign w:val="bottom"/>
          </w:tcPr>
          <w:p>
            <w:pPr>
              <w:spacing w:after="0"/>
              <w:rPr>
                <w:sz w:val="20"/>
                <w:szCs w:val="20"/>
                <w:color w:val="auto"/>
              </w:rPr>
            </w:pPr>
          </w:p>
        </w:tc>
        <w:tc>
          <w:tcPr>
            <w:tcW w:w="7980" w:type="dxa"/>
            <w:vAlign w:val="bottom"/>
          </w:tcPr>
          <w:p>
            <w:pPr>
              <w:jc w:val="center"/>
              <w:ind w:left="50"/>
              <w:spacing w:after="0"/>
              <w:rPr>
                <w:sz w:val="20"/>
                <w:szCs w:val="20"/>
                <w:color w:val="auto"/>
              </w:rPr>
            </w:pPr>
            <w:r>
              <w:rPr>
                <w:rFonts w:ascii="Arial" w:cs="Arial" w:eastAsia="Arial" w:hAnsi="Arial"/>
                <w:sz w:val="18"/>
                <w:szCs w:val="18"/>
                <w:color w:val="auto"/>
                <w:w w:val="97"/>
              </w:rPr>
              <w:t>LEGAL DEFEASANCE AND COVENANT DEFEASANCE</w:t>
            </w:r>
          </w:p>
        </w:tc>
        <w:tc>
          <w:tcPr>
            <w:tcW w:w="1660" w:type="dxa"/>
            <w:vAlign w:val="bottom"/>
          </w:tcPr>
          <w:p>
            <w:pPr>
              <w:spacing w:after="0"/>
              <w:rPr>
                <w:sz w:val="20"/>
                <w:szCs w:val="20"/>
                <w:color w:val="auto"/>
              </w:rPr>
            </w:pPr>
          </w:p>
        </w:tc>
      </w:tr>
      <w:tr>
        <w:trPr>
          <w:trHeight w:val="269"/>
        </w:trPr>
        <w:tc>
          <w:tcPr>
            <w:tcW w:w="1520" w:type="dxa"/>
            <w:vAlign w:val="bottom"/>
          </w:tcPr>
          <w:p>
            <w:pPr>
              <w:spacing w:after="0"/>
              <w:rPr>
                <w:sz w:val="20"/>
                <w:szCs w:val="20"/>
                <w:color w:val="auto"/>
              </w:rPr>
            </w:pPr>
            <w:r>
              <w:rPr>
                <w:rFonts w:ascii="Arial" w:cs="Arial" w:eastAsia="Arial" w:hAnsi="Arial"/>
                <w:sz w:val="18"/>
                <w:szCs w:val="18"/>
                <w:color w:val="auto"/>
              </w:rPr>
              <w:t>SECTION 8.01</w:t>
            </w:r>
          </w:p>
        </w:tc>
        <w:tc>
          <w:tcPr>
            <w:tcW w:w="7980" w:type="dxa"/>
            <w:vAlign w:val="bottom"/>
          </w:tcPr>
          <w:p>
            <w:pPr>
              <w:ind w:left="300"/>
              <w:spacing w:after="0"/>
              <w:rPr>
                <w:sz w:val="20"/>
                <w:szCs w:val="20"/>
                <w:color w:val="auto"/>
              </w:rPr>
            </w:pPr>
            <w:r>
              <w:rPr>
                <w:rFonts w:ascii="Arial" w:cs="Arial" w:eastAsia="Arial" w:hAnsi="Arial"/>
                <w:sz w:val="18"/>
                <w:szCs w:val="18"/>
                <w:color w:val="auto"/>
              </w:rPr>
              <w:t>Option to Effect Legal Defeasance or Covenant Defeasance</w:t>
            </w:r>
          </w:p>
        </w:tc>
        <w:tc>
          <w:tcPr>
            <w:tcW w:w="1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8.02</w:t>
            </w:r>
          </w:p>
        </w:tc>
        <w:tc>
          <w:tcPr>
            <w:tcW w:w="7980" w:type="dxa"/>
            <w:vAlign w:val="bottom"/>
          </w:tcPr>
          <w:p>
            <w:pPr>
              <w:ind w:left="300"/>
              <w:spacing w:after="0"/>
              <w:rPr>
                <w:sz w:val="20"/>
                <w:szCs w:val="20"/>
                <w:color w:val="auto"/>
              </w:rPr>
            </w:pPr>
            <w:r>
              <w:rPr>
                <w:rFonts w:ascii="Arial" w:cs="Arial" w:eastAsia="Arial" w:hAnsi="Arial"/>
                <w:sz w:val="18"/>
                <w:szCs w:val="18"/>
                <w:color w:val="auto"/>
              </w:rPr>
              <w:t>Legal Defeasance and Discharge</w:t>
            </w:r>
          </w:p>
        </w:tc>
        <w:tc>
          <w:tcPr>
            <w:tcW w:w="1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8.03</w:t>
            </w:r>
          </w:p>
        </w:tc>
        <w:tc>
          <w:tcPr>
            <w:tcW w:w="7980" w:type="dxa"/>
            <w:vAlign w:val="bottom"/>
          </w:tcPr>
          <w:p>
            <w:pPr>
              <w:ind w:left="300"/>
              <w:spacing w:after="0"/>
              <w:rPr>
                <w:sz w:val="20"/>
                <w:szCs w:val="20"/>
                <w:color w:val="auto"/>
              </w:rPr>
            </w:pPr>
            <w:r>
              <w:rPr>
                <w:rFonts w:ascii="Arial" w:cs="Arial" w:eastAsia="Arial" w:hAnsi="Arial"/>
                <w:sz w:val="18"/>
                <w:szCs w:val="18"/>
                <w:color w:val="auto"/>
              </w:rPr>
              <w:t>Covenant Defeasance</w:t>
            </w:r>
          </w:p>
        </w:tc>
        <w:tc>
          <w:tcPr>
            <w:tcW w:w="16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8.04</w:t>
            </w:r>
          </w:p>
        </w:tc>
        <w:tc>
          <w:tcPr>
            <w:tcW w:w="7980" w:type="dxa"/>
            <w:vAlign w:val="bottom"/>
          </w:tcPr>
          <w:p>
            <w:pPr>
              <w:ind w:left="300"/>
              <w:spacing w:after="0"/>
              <w:rPr>
                <w:sz w:val="20"/>
                <w:szCs w:val="20"/>
                <w:color w:val="auto"/>
              </w:rPr>
            </w:pPr>
            <w:r>
              <w:rPr>
                <w:rFonts w:ascii="Arial" w:cs="Arial" w:eastAsia="Arial" w:hAnsi="Arial"/>
                <w:sz w:val="18"/>
                <w:szCs w:val="18"/>
                <w:color w:val="auto"/>
              </w:rPr>
              <w:t>Conditions to Legal or Covenant Defeasance</w:t>
            </w:r>
          </w:p>
        </w:tc>
        <w:tc>
          <w:tcPr>
            <w:tcW w:w="16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8.05</w:t>
            </w:r>
          </w:p>
        </w:tc>
        <w:tc>
          <w:tcPr>
            <w:tcW w:w="7980" w:type="dxa"/>
            <w:vAlign w:val="bottom"/>
          </w:tcPr>
          <w:p>
            <w:pPr>
              <w:ind w:left="300"/>
              <w:spacing w:after="0"/>
              <w:rPr>
                <w:sz w:val="20"/>
                <w:szCs w:val="20"/>
                <w:color w:val="auto"/>
              </w:rPr>
            </w:pPr>
            <w:r>
              <w:rPr>
                <w:rFonts w:ascii="Arial" w:cs="Arial" w:eastAsia="Arial" w:hAnsi="Arial"/>
                <w:sz w:val="18"/>
                <w:szCs w:val="18"/>
                <w:color w:val="auto"/>
              </w:rPr>
              <w:t>Deposited Money and Government Securities to Be Held in Trust; Other Miscellaneous</w:t>
            </w:r>
          </w:p>
        </w:tc>
        <w:tc>
          <w:tcPr>
            <w:tcW w:w="1660" w:type="dxa"/>
            <w:vAlign w:val="bottom"/>
          </w:tcPr>
          <w:p>
            <w:pPr>
              <w:spacing w:after="0"/>
              <w:rPr>
                <w:sz w:val="18"/>
                <w:szCs w:val="18"/>
                <w:color w:val="auto"/>
              </w:rPr>
            </w:pPr>
          </w:p>
        </w:tc>
      </w:tr>
      <w:tr>
        <w:trPr>
          <w:trHeight w:val="230"/>
        </w:trPr>
        <w:tc>
          <w:tcPr>
            <w:tcW w:w="1520" w:type="dxa"/>
            <w:vAlign w:val="bottom"/>
          </w:tcPr>
          <w:p>
            <w:pPr>
              <w:spacing w:after="0"/>
              <w:rPr>
                <w:sz w:val="19"/>
                <w:szCs w:val="19"/>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Provisions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8.06</w:t>
            </w:r>
          </w:p>
        </w:tc>
        <w:tc>
          <w:tcPr>
            <w:tcW w:w="7980" w:type="dxa"/>
            <w:vAlign w:val="bottom"/>
          </w:tcPr>
          <w:p>
            <w:pPr>
              <w:ind w:left="300"/>
              <w:spacing w:after="0"/>
              <w:rPr>
                <w:sz w:val="20"/>
                <w:szCs w:val="20"/>
                <w:color w:val="auto"/>
              </w:rPr>
            </w:pPr>
            <w:r>
              <w:rPr>
                <w:rFonts w:ascii="Arial" w:cs="Arial" w:eastAsia="Arial" w:hAnsi="Arial"/>
                <w:sz w:val="18"/>
                <w:szCs w:val="18"/>
                <w:color w:val="auto"/>
              </w:rPr>
              <w:t>Repayment to Issuer</w:t>
            </w: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8.07</w:t>
            </w:r>
          </w:p>
        </w:tc>
        <w:tc>
          <w:tcPr>
            <w:tcW w:w="7980" w:type="dxa"/>
            <w:vAlign w:val="bottom"/>
          </w:tcPr>
          <w:p>
            <w:pPr>
              <w:ind w:left="300"/>
              <w:spacing w:after="0"/>
              <w:rPr>
                <w:sz w:val="20"/>
                <w:szCs w:val="20"/>
                <w:color w:val="auto"/>
              </w:rPr>
            </w:pPr>
            <w:r>
              <w:rPr>
                <w:rFonts w:ascii="Arial" w:cs="Arial" w:eastAsia="Arial" w:hAnsi="Arial"/>
                <w:sz w:val="18"/>
                <w:szCs w:val="18"/>
                <w:color w:val="auto"/>
              </w:rPr>
              <w:t>Reinstatement</w:t>
            </w: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10"/>
        </w:trPr>
        <w:tc>
          <w:tcPr>
            <w:tcW w:w="1520" w:type="dxa"/>
            <w:vAlign w:val="bottom"/>
          </w:tcPr>
          <w:p>
            <w:pPr>
              <w:spacing w:after="0"/>
              <w:rPr>
                <w:sz w:val="24"/>
                <w:szCs w:val="24"/>
                <w:color w:val="auto"/>
              </w:rPr>
            </w:pPr>
          </w:p>
        </w:tc>
        <w:tc>
          <w:tcPr>
            <w:tcW w:w="7980" w:type="dxa"/>
            <w:vAlign w:val="bottom"/>
          </w:tcPr>
          <w:p>
            <w:pPr>
              <w:jc w:val="center"/>
              <w:ind w:left="50"/>
              <w:spacing w:after="0"/>
              <w:rPr>
                <w:sz w:val="20"/>
                <w:szCs w:val="20"/>
                <w:color w:val="auto"/>
              </w:rPr>
            </w:pPr>
            <w:r>
              <w:rPr>
                <w:rFonts w:ascii="Arial" w:cs="Arial" w:eastAsia="Arial" w:hAnsi="Arial"/>
                <w:sz w:val="18"/>
                <w:szCs w:val="18"/>
                <w:color w:val="auto"/>
              </w:rPr>
              <w:t>ARTICLE IX</w:t>
            </w:r>
          </w:p>
        </w:tc>
        <w:tc>
          <w:tcPr>
            <w:tcW w:w="1660" w:type="dxa"/>
            <w:vAlign w:val="bottom"/>
          </w:tcPr>
          <w:p>
            <w:pPr>
              <w:spacing w:after="0"/>
              <w:rPr>
                <w:sz w:val="24"/>
                <w:szCs w:val="24"/>
                <w:color w:val="auto"/>
              </w:rPr>
            </w:pPr>
          </w:p>
        </w:tc>
      </w:tr>
      <w:tr>
        <w:trPr>
          <w:trHeight w:val="230"/>
        </w:trPr>
        <w:tc>
          <w:tcPr>
            <w:tcW w:w="1520" w:type="dxa"/>
            <w:vAlign w:val="bottom"/>
          </w:tcPr>
          <w:p>
            <w:pPr>
              <w:spacing w:after="0"/>
              <w:rPr>
                <w:sz w:val="20"/>
                <w:szCs w:val="20"/>
                <w:color w:val="auto"/>
              </w:rPr>
            </w:pPr>
          </w:p>
        </w:tc>
        <w:tc>
          <w:tcPr>
            <w:tcW w:w="7980" w:type="dxa"/>
            <w:vAlign w:val="bottom"/>
          </w:tcPr>
          <w:p>
            <w:pPr>
              <w:jc w:val="center"/>
              <w:ind w:left="50"/>
              <w:spacing w:after="0"/>
              <w:rPr>
                <w:sz w:val="20"/>
                <w:szCs w:val="20"/>
                <w:color w:val="auto"/>
              </w:rPr>
            </w:pPr>
            <w:r>
              <w:rPr>
                <w:rFonts w:ascii="Arial" w:cs="Arial" w:eastAsia="Arial" w:hAnsi="Arial"/>
                <w:sz w:val="18"/>
                <w:szCs w:val="18"/>
                <w:color w:val="auto"/>
                <w:w w:val="98"/>
              </w:rPr>
              <w:t>AMENDMENT, SUPPLEMENT AND WAIVER</w:t>
            </w:r>
          </w:p>
        </w:tc>
        <w:tc>
          <w:tcPr>
            <w:tcW w:w="1660" w:type="dxa"/>
            <w:vAlign w:val="bottom"/>
          </w:tcPr>
          <w:p>
            <w:pPr>
              <w:spacing w:after="0"/>
              <w:rPr>
                <w:sz w:val="20"/>
                <w:szCs w:val="20"/>
                <w:color w:val="auto"/>
              </w:rPr>
            </w:pPr>
          </w:p>
        </w:tc>
      </w:tr>
      <w:tr>
        <w:trPr>
          <w:trHeight w:val="269"/>
        </w:trPr>
        <w:tc>
          <w:tcPr>
            <w:tcW w:w="1520" w:type="dxa"/>
            <w:vAlign w:val="bottom"/>
          </w:tcPr>
          <w:p>
            <w:pPr>
              <w:spacing w:after="0"/>
              <w:rPr>
                <w:sz w:val="20"/>
                <w:szCs w:val="20"/>
                <w:color w:val="auto"/>
              </w:rPr>
            </w:pPr>
            <w:r>
              <w:rPr>
                <w:rFonts w:ascii="Arial" w:cs="Arial" w:eastAsia="Arial" w:hAnsi="Arial"/>
                <w:sz w:val="18"/>
                <w:szCs w:val="18"/>
                <w:color w:val="auto"/>
              </w:rPr>
              <w:t>SECTION 9.01</w:t>
            </w:r>
          </w:p>
        </w:tc>
        <w:tc>
          <w:tcPr>
            <w:tcW w:w="7980" w:type="dxa"/>
            <w:vAlign w:val="bottom"/>
          </w:tcPr>
          <w:p>
            <w:pPr>
              <w:ind w:left="300"/>
              <w:spacing w:after="0"/>
              <w:rPr>
                <w:sz w:val="20"/>
                <w:szCs w:val="20"/>
                <w:color w:val="auto"/>
              </w:rPr>
            </w:pPr>
            <w:r>
              <w:rPr>
                <w:rFonts w:ascii="Arial" w:cs="Arial" w:eastAsia="Arial" w:hAnsi="Arial"/>
                <w:sz w:val="18"/>
                <w:szCs w:val="18"/>
                <w:color w:val="auto"/>
              </w:rPr>
              <w:t>Without Consent of Holders of Notes</w:t>
            </w: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9.02</w:t>
            </w:r>
          </w:p>
        </w:tc>
        <w:tc>
          <w:tcPr>
            <w:tcW w:w="7980" w:type="dxa"/>
            <w:vAlign w:val="bottom"/>
          </w:tcPr>
          <w:p>
            <w:pPr>
              <w:ind w:left="300"/>
              <w:spacing w:after="0"/>
              <w:rPr>
                <w:sz w:val="20"/>
                <w:szCs w:val="20"/>
                <w:color w:val="auto"/>
              </w:rPr>
            </w:pPr>
            <w:r>
              <w:rPr>
                <w:rFonts w:ascii="Arial" w:cs="Arial" w:eastAsia="Arial" w:hAnsi="Arial"/>
                <w:sz w:val="18"/>
                <w:szCs w:val="18"/>
                <w:color w:val="auto"/>
              </w:rPr>
              <w:t>With Consent of Holders of Notes</w:t>
            </w:r>
          </w:p>
        </w:tc>
        <w:tc>
          <w:tcPr>
            <w:tcW w:w="16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9.03</w:t>
            </w:r>
          </w:p>
        </w:tc>
        <w:tc>
          <w:tcPr>
            <w:tcW w:w="7980" w:type="dxa"/>
            <w:vAlign w:val="bottom"/>
          </w:tcPr>
          <w:p>
            <w:pPr>
              <w:ind w:left="300"/>
              <w:spacing w:after="0"/>
              <w:rPr>
                <w:sz w:val="20"/>
                <w:szCs w:val="20"/>
                <w:color w:val="auto"/>
              </w:rPr>
            </w:pPr>
            <w:r>
              <w:rPr>
                <w:rFonts w:ascii="Arial" w:cs="Arial" w:eastAsia="Arial" w:hAnsi="Arial"/>
                <w:sz w:val="18"/>
                <w:szCs w:val="18"/>
                <w:color w:val="auto"/>
              </w:rPr>
              <w:t>Revocation and Effect of Consents</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9.04</w:t>
            </w:r>
          </w:p>
        </w:tc>
        <w:tc>
          <w:tcPr>
            <w:tcW w:w="7980" w:type="dxa"/>
            <w:vAlign w:val="bottom"/>
          </w:tcPr>
          <w:p>
            <w:pPr>
              <w:ind w:left="300"/>
              <w:spacing w:after="0"/>
              <w:rPr>
                <w:sz w:val="20"/>
                <w:szCs w:val="20"/>
                <w:color w:val="auto"/>
              </w:rPr>
            </w:pPr>
            <w:r>
              <w:rPr>
                <w:rFonts w:ascii="Arial" w:cs="Arial" w:eastAsia="Arial" w:hAnsi="Arial"/>
                <w:sz w:val="18"/>
                <w:szCs w:val="18"/>
                <w:color w:val="auto"/>
              </w:rPr>
              <w:t>Notation on or Exchange of Notes</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9.05</w:t>
            </w:r>
          </w:p>
        </w:tc>
        <w:tc>
          <w:tcPr>
            <w:tcW w:w="7980" w:type="dxa"/>
            <w:vAlign w:val="bottom"/>
          </w:tcPr>
          <w:p>
            <w:pPr>
              <w:ind w:left="300"/>
              <w:spacing w:after="0"/>
              <w:rPr>
                <w:sz w:val="20"/>
                <w:szCs w:val="20"/>
                <w:color w:val="auto"/>
              </w:rPr>
            </w:pPr>
            <w:r>
              <w:rPr>
                <w:rFonts w:ascii="Arial" w:cs="Arial" w:eastAsia="Arial" w:hAnsi="Arial"/>
                <w:sz w:val="18"/>
                <w:szCs w:val="18"/>
                <w:color w:val="auto"/>
              </w:rPr>
              <w:t>Trustee to Sign Amendments, etc.</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9.06</w:t>
            </w:r>
          </w:p>
        </w:tc>
        <w:tc>
          <w:tcPr>
            <w:tcW w:w="7980" w:type="dxa"/>
            <w:vAlign w:val="bottom"/>
          </w:tcPr>
          <w:p>
            <w:pPr>
              <w:ind w:left="300"/>
              <w:spacing w:after="0"/>
              <w:rPr>
                <w:sz w:val="20"/>
                <w:szCs w:val="20"/>
                <w:color w:val="auto"/>
              </w:rPr>
            </w:pPr>
            <w:r>
              <w:rPr>
                <w:rFonts w:ascii="Arial" w:cs="Arial" w:eastAsia="Arial" w:hAnsi="Arial"/>
                <w:sz w:val="18"/>
                <w:szCs w:val="18"/>
                <w:color w:val="auto"/>
              </w:rPr>
              <w:t>Payment for Consent</w:t>
            </w:r>
          </w:p>
        </w:tc>
        <w:tc>
          <w:tcPr>
            <w:tcW w:w="1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9.07</w:t>
            </w:r>
          </w:p>
        </w:tc>
        <w:tc>
          <w:tcPr>
            <w:tcW w:w="7980" w:type="dxa"/>
            <w:vAlign w:val="bottom"/>
          </w:tcPr>
          <w:p>
            <w:pPr>
              <w:ind w:left="300"/>
              <w:spacing w:after="0"/>
              <w:rPr>
                <w:sz w:val="20"/>
                <w:szCs w:val="20"/>
                <w:color w:val="auto"/>
              </w:rPr>
            </w:pPr>
            <w:r>
              <w:rPr>
                <w:rFonts w:ascii="Arial" w:cs="Arial" w:eastAsia="Arial" w:hAnsi="Arial"/>
                <w:sz w:val="18"/>
                <w:szCs w:val="18"/>
                <w:color w:val="auto"/>
              </w:rPr>
              <w:t>Additional Voting Terms; Calculation of Principal Amount</w:t>
            </w:r>
          </w:p>
        </w:tc>
        <w:tc>
          <w:tcPr>
            <w:tcW w:w="1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10"/>
        </w:trPr>
        <w:tc>
          <w:tcPr>
            <w:tcW w:w="1520" w:type="dxa"/>
            <w:vAlign w:val="bottom"/>
          </w:tcPr>
          <w:p>
            <w:pPr>
              <w:spacing w:after="0"/>
              <w:rPr>
                <w:sz w:val="24"/>
                <w:szCs w:val="24"/>
                <w:color w:val="auto"/>
              </w:rPr>
            </w:pPr>
          </w:p>
        </w:tc>
        <w:tc>
          <w:tcPr>
            <w:tcW w:w="7980" w:type="dxa"/>
            <w:vAlign w:val="bottom"/>
          </w:tcPr>
          <w:p>
            <w:pPr>
              <w:jc w:val="center"/>
              <w:ind w:left="50"/>
              <w:spacing w:after="0"/>
              <w:rPr>
                <w:sz w:val="20"/>
                <w:szCs w:val="20"/>
                <w:color w:val="auto"/>
              </w:rPr>
            </w:pPr>
            <w:r>
              <w:rPr>
                <w:rFonts w:ascii="Arial" w:cs="Arial" w:eastAsia="Arial" w:hAnsi="Arial"/>
                <w:sz w:val="18"/>
                <w:szCs w:val="18"/>
                <w:color w:val="auto"/>
                <w:w w:val="98"/>
              </w:rPr>
              <w:t>ARTICLE X</w:t>
            </w:r>
          </w:p>
        </w:tc>
        <w:tc>
          <w:tcPr>
            <w:tcW w:w="1660" w:type="dxa"/>
            <w:vAlign w:val="bottom"/>
          </w:tcPr>
          <w:p>
            <w:pPr>
              <w:spacing w:after="0"/>
              <w:rPr>
                <w:sz w:val="24"/>
                <w:szCs w:val="24"/>
                <w:color w:val="auto"/>
              </w:rPr>
            </w:pPr>
          </w:p>
        </w:tc>
      </w:tr>
      <w:tr>
        <w:trPr>
          <w:trHeight w:val="230"/>
        </w:trPr>
        <w:tc>
          <w:tcPr>
            <w:tcW w:w="1520" w:type="dxa"/>
            <w:vAlign w:val="bottom"/>
          </w:tcPr>
          <w:p>
            <w:pPr>
              <w:spacing w:after="0"/>
              <w:rPr>
                <w:sz w:val="20"/>
                <w:szCs w:val="20"/>
                <w:color w:val="auto"/>
              </w:rPr>
            </w:pPr>
          </w:p>
        </w:tc>
        <w:tc>
          <w:tcPr>
            <w:tcW w:w="7980" w:type="dxa"/>
            <w:vAlign w:val="bottom"/>
          </w:tcPr>
          <w:p>
            <w:pPr>
              <w:jc w:val="center"/>
              <w:ind w:left="50"/>
              <w:spacing w:after="0"/>
              <w:rPr>
                <w:sz w:val="20"/>
                <w:szCs w:val="20"/>
                <w:color w:val="auto"/>
              </w:rPr>
            </w:pPr>
            <w:r>
              <w:rPr>
                <w:rFonts w:ascii="Arial" w:cs="Arial" w:eastAsia="Arial" w:hAnsi="Arial"/>
                <w:sz w:val="18"/>
                <w:szCs w:val="18"/>
                <w:color w:val="auto"/>
                <w:w w:val="96"/>
              </w:rPr>
              <w:t>GUARANTEES</w:t>
            </w:r>
          </w:p>
        </w:tc>
        <w:tc>
          <w:tcPr>
            <w:tcW w:w="1660" w:type="dxa"/>
            <w:vAlign w:val="bottom"/>
          </w:tcPr>
          <w:p>
            <w:pPr>
              <w:spacing w:after="0"/>
              <w:rPr>
                <w:sz w:val="20"/>
                <w:szCs w:val="20"/>
                <w:color w:val="auto"/>
              </w:rPr>
            </w:pPr>
          </w:p>
        </w:tc>
      </w:tr>
      <w:tr>
        <w:trPr>
          <w:trHeight w:val="269"/>
        </w:trPr>
        <w:tc>
          <w:tcPr>
            <w:tcW w:w="1520" w:type="dxa"/>
            <w:vAlign w:val="bottom"/>
          </w:tcPr>
          <w:p>
            <w:pPr>
              <w:spacing w:after="0"/>
              <w:rPr>
                <w:sz w:val="20"/>
                <w:szCs w:val="20"/>
                <w:color w:val="auto"/>
              </w:rPr>
            </w:pPr>
            <w:r>
              <w:rPr>
                <w:rFonts w:ascii="Arial" w:cs="Arial" w:eastAsia="Arial" w:hAnsi="Arial"/>
                <w:sz w:val="18"/>
                <w:szCs w:val="18"/>
                <w:color w:val="auto"/>
              </w:rPr>
              <w:t>SECTION 10.01</w:t>
            </w:r>
          </w:p>
        </w:tc>
        <w:tc>
          <w:tcPr>
            <w:tcW w:w="7980" w:type="dxa"/>
            <w:vAlign w:val="bottom"/>
          </w:tcPr>
          <w:p>
            <w:pPr>
              <w:ind w:left="300"/>
              <w:spacing w:after="0"/>
              <w:rPr>
                <w:sz w:val="20"/>
                <w:szCs w:val="20"/>
                <w:color w:val="auto"/>
              </w:rPr>
            </w:pPr>
            <w:r>
              <w:rPr>
                <w:rFonts w:ascii="Arial" w:cs="Arial" w:eastAsia="Arial" w:hAnsi="Arial"/>
                <w:sz w:val="18"/>
                <w:szCs w:val="18"/>
                <w:color w:val="auto"/>
              </w:rPr>
              <w:t>Guarantee</w:t>
            </w:r>
          </w:p>
        </w:tc>
        <w:tc>
          <w:tcPr>
            <w:tcW w:w="1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10.02</w:t>
            </w:r>
          </w:p>
        </w:tc>
        <w:tc>
          <w:tcPr>
            <w:tcW w:w="7980" w:type="dxa"/>
            <w:vAlign w:val="bottom"/>
          </w:tcPr>
          <w:p>
            <w:pPr>
              <w:ind w:left="300"/>
              <w:spacing w:after="0"/>
              <w:rPr>
                <w:sz w:val="20"/>
                <w:szCs w:val="20"/>
                <w:color w:val="auto"/>
              </w:rPr>
            </w:pPr>
            <w:r>
              <w:rPr>
                <w:rFonts w:ascii="Arial" w:cs="Arial" w:eastAsia="Arial" w:hAnsi="Arial"/>
                <w:sz w:val="18"/>
                <w:szCs w:val="18"/>
                <w:color w:val="auto"/>
              </w:rPr>
              <w:t>Limitation on Guarantor Liability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10.03</w:t>
            </w:r>
          </w:p>
        </w:tc>
        <w:tc>
          <w:tcPr>
            <w:tcW w:w="7980" w:type="dxa"/>
            <w:vAlign w:val="bottom"/>
          </w:tcPr>
          <w:p>
            <w:pPr>
              <w:ind w:left="300"/>
              <w:spacing w:after="0"/>
              <w:rPr>
                <w:sz w:val="20"/>
                <w:szCs w:val="20"/>
                <w:color w:val="auto"/>
              </w:rPr>
            </w:pPr>
            <w:r>
              <w:rPr>
                <w:rFonts w:ascii="Arial" w:cs="Arial" w:eastAsia="Arial" w:hAnsi="Arial"/>
                <w:sz w:val="18"/>
                <w:szCs w:val="18"/>
                <w:color w:val="auto"/>
              </w:rPr>
              <w:t>Execution and Delivery</w:t>
            </w: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10.04</w:t>
            </w:r>
          </w:p>
        </w:tc>
        <w:tc>
          <w:tcPr>
            <w:tcW w:w="7980" w:type="dxa"/>
            <w:vAlign w:val="bottom"/>
          </w:tcPr>
          <w:p>
            <w:pPr>
              <w:ind w:left="300"/>
              <w:spacing w:after="0"/>
              <w:rPr>
                <w:sz w:val="20"/>
                <w:szCs w:val="20"/>
                <w:color w:val="auto"/>
              </w:rPr>
            </w:pPr>
            <w:r>
              <w:rPr>
                <w:rFonts w:ascii="Arial" w:cs="Arial" w:eastAsia="Arial" w:hAnsi="Arial"/>
                <w:sz w:val="18"/>
                <w:szCs w:val="18"/>
                <w:color w:val="auto"/>
              </w:rPr>
              <w:t>Subrogation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10.05</w:t>
            </w:r>
          </w:p>
        </w:tc>
        <w:tc>
          <w:tcPr>
            <w:tcW w:w="7980" w:type="dxa"/>
            <w:vAlign w:val="bottom"/>
          </w:tcPr>
          <w:p>
            <w:pPr>
              <w:ind w:left="300"/>
              <w:spacing w:after="0"/>
              <w:rPr>
                <w:sz w:val="20"/>
                <w:szCs w:val="20"/>
                <w:color w:val="auto"/>
              </w:rPr>
            </w:pPr>
            <w:r>
              <w:rPr>
                <w:rFonts w:ascii="Arial" w:cs="Arial" w:eastAsia="Arial" w:hAnsi="Arial"/>
                <w:sz w:val="18"/>
                <w:szCs w:val="18"/>
                <w:color w:val="auto"/>
              </w:rPr>
              <w:t>Benefits Acknowledged</w:t>
            </w: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10.06</w:t>
            </w:r>
          </w:p>
        </w:tc>
        <w:tc>
          <w:tcPr>
            <w:tcW w:w="7980" w:type="dxa"/>
            <w:vAlign w:val="bottom"/>
          </w:tcPr>
          <w:p>
            <w:pPr>
              <w:ind w:left="300"/>
              <w:spacing w:after="0"/>
              <w:rPr>
                <w:sz w:val="20"/>
                <w:szCs w:val="20"/>
                <w:color w:val="auto"/>
              </w:rPr>
            </w:pPr>
            <w:r>
              <w:rPr>
                <w:rFonts w:ascii="Arial" w:cs="Arial" w:eastAsia="Arial" w:hAnsi="Arial"/>
                <w:sz w:val="18"/>
                <w:szCs w:val="18"/>
                <w:color w:val="auto"/>
              </w:rPr>
              <w:t>Release of Guarantees</w:t>
            </w: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10.07</w:t>
            </w:r>
          </w:p>
        </w:tc>
        <w:tc>
          <w:tcPr>
            <w:tcW w:w="7980" w:type="dxa"/>
            <w:vAlign w:val="bottom"/>
          </w:tcPr>
          <w:p>
            <w:pPr>
              <w:ind w:left="300"/>
              <w:spacing w:after="0"/>
              <w:rPr>
                <w:sz w:val="20"/>
                <w:szCs w:val="20"/>
                <w:color w:val="auto"/>
              </w:rPr>
            </w:pPr>
            <w:r>
              <w:rPr>
                <w:rFonts w:ascii="Arial" w:cs="Arial" w:eastAsia="Arial" w:hAnsi="Arial"/>
                <w:sz w:val="18"/>
                <w:szCs w:val="18"/>
                <w:color w:val="auto"/>
              </w:rPr>
              <w:t>Agreed Security Principles</w:t>
            </w:r>
          </w:p>
        </w:tc>
        <w:tc>
          <w:tcPr>
            <w:tcW w:w="166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60"/>
          </w:cols>
          <w:pgMar w:left="240" w:top="382" w:right="49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COLLATERAL AND SECURITY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11.01</w:t>
            </w:r>
          </w:p>
        </w:tc>
        <w:tc>
          <w:tcPr>
            <w:tcW w:w="8720" w:type="dxa"/>
            <w:vAlign w:val="bottom"/>
          </w:tcPr>
          <w:p>
            <w:pPr>
              <w:ind w:left="300"/>
              <w:spacing w:after="0"/>
              <w:rPr>
                <w:sz w:val="20"/>
                <w:szCs w:val="20"/>
                <w:color w:val="auto"/>
              </w:rPr>
            </w:pPr>
            <w:r>
              <w:rPr>
                <w:rFonts w:ascii="Arial" w:cs="Arial" w:eastAsia="Arial" w:hAnsi="Arial"/>
                <w:sz w:val="18"/>
                <w:szCs w:val="18"/>
                <w:color w:val="auto"/>
              </w:rPr>
              <w:t>The Collateral Agent</w:t>
            </w: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11.02</w:t>
            </w:r>
          </w:p>
        </w:tc>
        <w:tc>
          <w:tcPr>
            <w:tcW w:w="8720" w:type="dxa"/>
            <w:vAlign w:val="bottom"/>
          </w:tcPr>
          <w:p>
            <w:pPr>
              <w:ind w:left="300"/>
              <w:spacing w:after="0"/>
              <w:rPr>
                <w:sz w:val="20"/>
                <w:szCs w:val="20"/>
                <w:color w:val="auto"/>
              </w:rPr>
            </w:pPr>
            <w:r>
              <w:rPr>
                <w:rFonts w:ascii="Arial" w:cs="Arial" w:eastAsia="Arial" w:hAnsi="Arial"/>
                <w:sz w:val="18"/>
                <w:szCs w:val="18"/>
                <w:color w:val="auto"/>
              </w:rPr>
              <w:t>The Collateral</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11.03</w:t>
            </w:r>
          </w:p>
        </w:tc>
        <w:tc>
          <w:tcPr>
            <w:tcW w:w="8720" w:type="dxa"/>
            <w:vAlign w:val="bottom"/>
          </w:tcPr>
          <w:p>
            <w:pPr>
              <w:ind w:left="300"/>
              <w:spacing w:after="0"/>
              <w:rPr>
                <w:sz w:val="20"/>
                <w:szCs w:val="20"/>
                <w:color w:val="auto"/>
              </w:rPr>
            </w:pPr>
            <w:r>
              <w:rPr>
                <w:rFonts w:ascii="Arial" w:cs="Arial" w:eastAsia="Arial" w:hAnsi="Arial"/>
                <w:sz w:val="18"/>
                <w:szCs w:val="18"/>
                <w:color w:val="auto"/>
              </w:rPr>
              <w:t>Impairment of Security Interest</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11.04</w:t>
            </w:r>
          </w:p>
        </w:tc>
        <w:tc>
          <w:tcPr>
            <w:tcW w:w="8720" w:type="dxa"/>
            <w:vAlign w:val="bottom"/>
          </w:tcPr>
          <w:p>
            <w:pPr>
              <w:ind w:left="300"/>
              <w:spacing w:after="0"/>
              <w:rPr>
                <w:sz w:val="20"/>
                <w:szCs w:val="20"/>
                <w:color w:val="auto"/>
              </w:rPr>
            </w:pPr>
            <w:r>
              <w:rPr>
                <w:rFonts w:ascii="Arial" w:cs="Arial" w:eastAsia="Arial" w:hAnsi="Arial"/>
                <w:sz w:val="18"/>
                <w:szCs w:val="18"/>
                <w:color w:val="auto"/>
              </w:rPr>
              <w:t>After-Acquired Collateral</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11.05</w:t>
            </w:r>
          </w:p>
        </w:tc>
        <w:tc>
          <w:tcPr>
            <w:tcW w:w="8720" w:type="dxa"/>
            <w:vAlign w:val="bottom"/>
          </w:tcPr>
          <w:p>
            <w:pPr>
              <w:ind w:left="300"/>
              <w:spacing w:after="0"/>
              <w:rPr>
                <w:sz w:val="20"/>
                <w:szCs w:val="20"/>
                <w:color w:val="auto"/>
              </w:rPr>
            </w:pPr>
            <w:r>
              <w:rPr>
                <w:rFonts w:ascii="Arial" w:cs="Arial" w:eastAsia="Arial" w:hAnsi="Arial"/>
                <w:sz w:val="18"/>
                <w:szCs w:val="18"/>
                <w:color w:val="auto"/>
              </w:rPr>
              <w:t>Real Estate Mortgages and Filing; Pledge of Foreign Collateral</w:t>
            </w: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11.06</w:t>
            </w:r>
          </w:p>
        </w:tc>
        <w:tc>
          <w:tcPr>
            <w:tcW w:w="8720" w:type="dxa"/>
            <w:vAlign w:val="bottom"/>
          </w:tcPr>
          <w:p>
            <w:pPr>
              <w:ind w:left="300"/>
              <w:spacing w:after="0"/>
              <w:rPr>
                <w:sz w:val="20"/>
                <w:szCs w:val="20"/>
                <w:color w:val="auto"/>
              </w:rPr>
            </w:pPr>
            <w:r>
              <w:rPr>
                <w:rFonts w:ascii="Arial" w:cs="Arial" w:eastAsia="Arial" w:hAnsi="Arial"/>
                <w:sz w:val="18"/>
                <w:szCs w:val="18"/>
                <w:color w:val="auto"/>
              </w:rPr>
              <w:t>Release of Collateral</w:t>
            </w: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11.07</w:t>
            </w:r>
          </w:p>
        </w:tc>
        <w:tc>
          <w:tcPr>
            <w:tcW w:w="8720" w:type="dxa"/>
            <w:vAlign w:val="bottom"/>
          </w:tcPr>
          <w:p>
            <w:pPr>
              <w:ind w:left="300"/>
              <w:spacing w:after="0"/>
              <w:rPr>
                <w:sz w:val="20"/>
                <w:szCs w:val="20"/>
                <w:color w:val="auto"/>
              </w:rPr>
            </w:pPr>
            <w:r>
              <w:rPr>
                <w:rFonts w:ascii="Arial" w:cs="Arial" w:eastAsia="Arial" w:hAnsi="Arial"/>
                <w:sz w:val="18"/>
                <w:szCs w:val="18"/>
                <w:color w:val="auto"/>
                <w:w w:val="98"/>
              </w:rPr>
              <w:t>Authorization of Actions to be Taken by the Trustee or the Collateral Agent under the Collateral Documents</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20" w:type="dxa"/>
            <w:vAlign w:val="bottom"/>
          </w:tcPr>
          <w:p>
            <w:pPr>
              <w:ind w:left="300"/>
              <w:spacing w:after="0"/>
              <w:rPr>
                <w:sz w:val="20"/>
                <w:szCs w:val="20"/>
                <w:color w:val="auto"/>
              </w:rPr>
            </w:pPr>
            <w:r>
              <w:rPr>
                <w:rFonts w:ascii="Arial" w:cs="Arial" w:eastAsia="Arial" w:hAnsi="Arial"/>
                <w:sz w:val="18"/>
                <w:szCs w:val="18"/>
                <w:color w:val="auto"/>
              </w:rPr>
              <w:t>relating to the Notes</w:t>
            </w: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SECTION 11.08</w:t>
            </w:r>
          </w:p>
        </w:tc>
        <w:tc>
          <w:tcPr>
            <w:tcW w:w="8720" w:type="dxa"/>
            <w:vAlign w:val="bottom"/>
          </w:tcPr>
          <w:p>
            <w:pPr>
              <w:ind w:left="300"/>
              <w:spacing w:after="0"/>
              <w:rPr>
                <w:sz w:val="20"/>
                <w:szCs w:val="20"/>
                <w:color w:val="auto"/>
              </w:rPr>
            </w:pPr>
            <w:r>
              <w:rPr>
                <w:rFonts w:ascii="Arial" w:cs="Arial" w:eastAsia="Arial" w:hAnsi="Arial"/>
                <w:sz w:val="18"/>
                <w:szCs w:val="18"/>
                <w:color w:val="auto"/>
              </w:rPr>
              <w:t>Agreed Security Principles</w:t>
            </w: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10"/>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jc w:val="center"/>
              <w:ind w:right="510"/>
              <w:spacing w:after="0"/>
              <w:rPr>
                <w:sz w:val="20"/>
                <w:szCs w:val="20"/>
                <w:color w:val="auto"/>
              </w:rPr>
            </w:pPr>
            <w:r>
              <w:rPr>
                <w:rFonts w:ascii="Arial" w:cs="Arial" w:eastAsia="Arial" w:hAnsi="Arial"/>
                <w:sz w:val="18"/>
                <w:szCs w:val="18"/>
                <w:color w:val="auto"/>
              </w:rPr>
              <w:t>ARTICLE XII</w:t>
            </w:r>
          </w:p>
        </w:tc>
        <w:tc>
          <w:tcPr>
            <w:tcW w:w="9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720" w:type="dxa"/>
            <w:vAlign w:val="bottom"/>
          </w:tcPr>
          <w:p>
            <w:pPr>
              <w:jc w:val="center"/>
              <w:ind w:right="510"/>
              <w:spacing w:after="0"/>
              <w:rPr>
                <w:sz w:val="20"/>
                <w:szCs w:val="20"/>
                <w:color w:val="auto"/>
              </w:rPr>
            </w:pPr>
            <w:r>
              <w:rPr>
                <w:rFonts w:ascii="Arial" w:cs="Arial" w:eastAsia="Arial" w:hAnsi="Arial"/>
                <w:sz w:val="18"/>
                <w:szCs w:val="18"/>
                <w:color w:val="auto"/>
                <w:w w:val="96"/>
              </w:rPr>
              <w:t>SATISFACTION AND DISCHARGE</w:t>
            </w:r>
          </w:p>
        </w:tc>
        <w:tc>
          <w:tcPr>
            <w:tcW w:w="920" w:type="dxa"/>
            <w:vAlign w:val="bottom"/>
          </w:tcPr>
          <w:p>
            <w:pPr>
              <w:spacing w:after="0"/>
              <w:rPr>
                <w:sz w:val="20"/>
                <w:szCs w:val="20"/>
                <w:color w:val="auto"/>
              </w:rPr>
            </w:pPr>
          </w:p>
        </w:tc>
      </w:tr>
      <w:tr>
        <w:trPr>
          <w:trHeight w:val="269"/>
        </w:trPr>
        <w:tc>
          <w:tcPr>
            <w:tcW w:w="1520" w:type="dxa"/>
            <w:vAlign w:val="bottom"/>
            <w:gridSpan w:val="2"/>
          </w:tcPr>
          <w:p>
            <w:pPr>
              <w:spacing w:after="0"/>
              <w:rPr>
                <w:sz w:val="20"/>
                <w:szCs w:val="20"/>
                <w:color w:val="auto"/>
              </w:rPr>
            </w:pPr>
            <w:r>
              <w:rPr>
                <w:rFonts w:ascii="Arial" w:cs="Arial" w:eastAsia="Arial" w:hAnsi="Arial"/>
                <w:sz w:val="18"/>
                <w:szCs w:val="18"/>
                <w:color w:val="auto"/>
              </w:rPr>
              <w:t>SECTION 12.01</w:t>
            </w:r>
          </w:p>
        </w:tc>
        <w:tc>
          <w:tcPr>
            <w:tcW w:w="8720" w:type="dxa"/>
            <w:vAlign w:val="bottom"/>
          </w:tcPr>
          <w:p>
            <w:pPr>
              <w:ind w:left="300"/>
              <w:spacing w:after="0"/>
              <w:rPr>
                <w:sz w:val="20"/>
                <w:szCs w:val="20"/>
                <w:color w:val="auto"/>
              </w:rPr>
            </w:pPr>
            <w:r>
              <w:rPr>
                <w:rFonts w:ascii="Arial" w:cs="Arial" w:eastAsia="Arial" w:hAnsi="Arial"/>
                <w:sz w:val="18"/>
                <w:szCs w:val="18"/>
                <w:color w:val="auto"/>
              </w:rPr>
              <w:t>Satisfaction and Discharge</w:t>
            </w: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SECTION 12.02</w:t>
            </w:r>
          </w:p>
        </w:tc>
        <w:tc>
          <w:tcPr>
            <w:tcW w:w="8720" w:type="dxa"/>
            <w:vAlign w:val="bottom"/>
          </w:tcPr>
          <w:p>
            <w:pPr>
              <w:ind w:left="300"/>
              <w:spacing w:after="0"/>
              <w:rPr>
                <w:sz w:val="20"/>
                <w:szCs w:val="20"/>
                <w:color w:val="auto"/>
              </w:rPr>
            </w:pPr>
            <w:r>
              <w:rPr>
                <w:rFonts w:ascii="Arial" w:cs="Arial" w:eastAsia="Arial" w:hAnsi="Arial"/>
                <w:sz w:val="18"/>
                <w:szCs w:val="18"/>
                <w:color w:val="auto"/>
              </w:rPr>
              <w:t>Application of Trust Money</w:t>
            </w: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10"/>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jc w:val="center"/>
              <w:ind w:right="510"/>
              <w:spacing w:after="0"/>
              <w:rPr>
                <w:sz w:val="20"/>
                <w:szCs w:val="20"/>
                <w:color w:val="auto"/>
              </w:rPr>
            </w:pPr>
            <w:r>
              <w:rPr>
                <w:rFonts w:ascii="Arial" w:cs="Arial" w:eastAsia="Arial" w:hAnsi="Arial"/>
                <w:sz w:val="18"/>
                <w:szCs w:val="18"/>
                <w:color w:val="auto"/>
              </w:rPr>
              <w:t>ARTICLE XIII</w:t>
            </w:r>
          </w:p>
        </w:tc>
        <w:tc>
          <w:tcPr>
            <w:tcW w:w="9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720" w:type="dxa"/>
            <w:vAlign w:val="bottom"/>
          </w:tcPr>
          <w:p>
            <w:pPr>
              <w:jc w:val="center"/>
              <w:ind w:right="530"/>
              <w:spacing w:after="0"/>
              <w:rPr>
                <w:sz w:val="20"/>
                <w:szCs w:val="20"/>
                <w:color w:val="auto"/>
              </w:rPr>
            </w:pPr>
            <w:r>
              <w:rPr>
                <w:rFonts w:ascii="Arial" w:cs="Arial" w:eastAsia="Arial" w:hAnsi="Arial"/>
                <w:sz w:val="18"/>
                <w:szCs w:val="18"/>
                <w:color w:val="auto"/>
                <w:w w:val="97"/>
              </w:rPr>
              <w:t>MISCELLANEOUS</w:t>
            </w:r>
          </w:p>
        </w:tc>
        <w:tc>
          <w:tcPr>
            <w:tcW w:w="920" w:type="dxa"/>
            <w:vAlign w:val="bottom"/>
          </w:tcPr>
          <w:p>
            <w:pPr>
              <w:spacing w:after="0"/>
              <w:rPr>
                <w:sz w:val="20"/>
                <w:szCs w:val="20"/>
                <w:color w:val="auto"/>
              </w:rPr>
            </w:pPr>
          </w:p>
        </w:tc>
      </w:tr>
      <w:tr>
        <w:trPr>
          <w:trHeight w:val="269"/>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13.01</w:t>
            </w:r>
          </w:p>
        </w:tc>
        <w:tc>
          <w:tcPr>
            <w:tcW w:w="8720" w:type="dxa"/>
            <w:vAlign w:val="bottom"/>
          </w:tcPr>
          <w:p>
            <w:pPr>
              <w:ind w:left="300"/>
              <w:spacing w:after="0"/>
              <w:rPr>
                <w:sz w:val="20"/>
                <w:szCs w:val="20"/>
                <w:color w:val="auto"/>
              </w:rPr>
            </w:pPr>
            <w:r>
              <w:rPr>
                <w:rFonts w:ascii="Arial" w:cs="Arial" w:eastAsia="Arial" w:hAnsi="Arial"/>
                <w:sz w:val="18"/>
                <w:szCs w:val="18"/>
                <w:color w:val="auto"/>
              </w:rPr>
              <w:t>Notices</w:t>
            </w: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13.02</w:t>
            </w:r>
          </w:p>
        </w:tc>
        <w:tc>
          <w:tcPr>
            <w:tcW w:w="8720" w:type="dxa"/>
            <w:vAlign w:val="bottom"/>
          </w:tcPr>
          <w:p>
            <w:pPr>
              <w:ind w:left="300"/>
              <w:spacing w:after="0"/>
              <w:rPr>
                <w:sz w:val="20"/>
                <w:szCs w:val="20"/>
                <w:color w:val="auto"/>
              </w:rPr>
            </w:pPr>
            <w:r>
              <w:rPr>
                <w:rFonts w:ascii="Arial" w:cs="Arial" w:eastAsia="Arial" w:hAnsi="Arial"/>
                <w:sz w:val="18"/>
                <w:szCs w:val="18"/>
                <w:color w:val="auto"/>
              </w:rPr>
              <w:t>Communication by Holders of Notes with Other Holders of Notes</w:t>
            </w: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13.03</w:t>
            </w:r>
          </w:p>
        </w:tc>
        <w:tc>
          <w:tcPr>
            <w:tcW w:w="8720" w:type="dxa"/>
            <w:vAlign w:val="bottom"/>
          </w:tcPr>
          <w:p>
            <w:pPr>
              <w:ind w:left="300"/>
              <w:spacing w:after="0"/>
              <w:rPr>
                <w:sz w:val="20"/>
                <w:szCs w:val="20"/>
                <w:color w:val="auto"/>
              </w:rPr>
            </w:pPr>
            <w:r>
              <w:rPr>
                <w:rFonts w:ascii="Arial" w:cs="Arial" w:eastAsia="Arial" w:hAnsi="Arial"/>
                <w:sz w:val="18"/>
                <w:szCs w:val="18"/>
                <w:color w:val="auto"/>
              </w:rPr>
              <w:t>Certificate and Opinion as to Conditions Precedent</w:t>
            </w: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13.04</w:t>
            </w:r>
          </w:p>
        </w:tc>
        <w:tc>
          <w:tcPr>
            <w:tcW w:w="8720" w:type="dxa"/>
            <w:vAlign w:val="bottom"/>
          </w:tcPr>
          <w:p>
            <w:pPr>
              <w:ind w:left="300"/>
              <w:spacing w:after="0"/>
              <w:rPr>
                <w:sz w:val="20"/>
                <w:szCs w:val="20"/>
                <w:color w:val="auto"/>
              </w:rPr>
            </w:pPr>
            <w:r>
              <w:rPr>
                <w:rFonts w:ascii="Arial" w:cs="Arial" w:eastAsia="Arial" w:hAnsi="Arial"/>
                <w:sz w:val="18"/>
                <w:szCs w:val="18"/>
                <w:color w:val="auto"/>
              </w:rPr>
              <w:t>Statements Required in Certificate or Opinion</w:t>
            </w: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13.05</w:t>
            </w:r>
          </w:p>
        </w:tc>
        <w:tc>
          <w:tcPr>
            <w:tcW w:w="8720" w:type="dxa"/>
            <w:vAlign w:val="bottom"/>
          </w:tcPr>
          <w:p>
            <w:pPr>
              <w:ind w:left="300"/>
              <w:spacing w:after="0"/>
              <w:rPr>
                <w:sz w:val="20"/>
                <w:szCs w:val="20"/>
                <w:color w:val="auto"/>
              </w:rPr>
            </w:pPr>
            <w:r>
              <w:rPr>
                <w:rFonts w:ascii="Arial" w:cs="Arial" w:eastAsia="Arial" w:hAnsi="Arial"/>
                <w:sz w:val="18"/>
                <w:szCs w:val="18"/>
                <w:color w:val="auto"/>
              </w:rPr>
              <w:t>Rules by Trustee and Agents</w:t>
            </w: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13.06</w:t>
            </w:r>
          </w:p>
        </w:tc>
        <w:tc>
          <w:tcPr>
            <w:tcW w:w="8720" w:type="dxa"/>
            <w:vAlign w:val="bottom"/>
          </w:tcPr>
          <w:p>
            <w:pPr>
              <w:ind w:left="30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13.07</w:t>
            </w:r>
          </w:p>
        </w:tc>
        <w:tc>
          <w:tcPr>
            <w:tcW w:w="872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13.08</w:t>
            </w:r>
          </w:p>
        </w:tc>
        <w:tc>
          <w:tcPr>
            <w:tcW w:w="872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13.09</w:t>
            </w:r>
          </w:p>
        </w:tc>
        <w:tc>
          <w:tcPr>
            <w:tcW w:w="8720" w:type="dxa"/>
            <w:vAlign w:val="bottom"/>
          </w:tcPr>
          <w:p>
            <w:pPr>
              <w:ind w:left="300"/>
              <w:spacing w:after="0"/>
              <w:rPr>
                <w:sz w:val="20"/>
                <w:szCs w:val="20"/>
                <w:color w:val="auto"/>
              </w:rPr>
            </w:pPr>
            <w:r>
              <w:rPr>
                <w:rFonts w:ascii="Arial" w:cs="Arial" w:eastAsia="Arial" w:hAnsi="Arial"/>
                <w:sz w:val="18"/>
                <w:szCs w:val="18"/>
                <w:color w:val="auto"/>
              </w:rPr>
              <w:t>Force Majeure</w:t>
            </w: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13.10</w:t>
            </w:r>
          </w:p>
        </w:tc>
        <w:tc>
          <w:tcPr>
            <w:tcW w:w="8720" w:type="dxa"/>
            <w:vAlign w:val="bottom"/>
          </w:tcPr>
          <w:p>
            <w:pPr>
              <w:ind w:left="300"/>
              <w:spacing w:after="0"/>
              <w:rPr>
                <w:sz w:val="20"/>
                <w:szCs w:val="20"/>
                <w:color w:val="auto"/>
              </w:rPr>
            </w:pPr>
            <w:r>
              <w:rPr>
                <w:rFonts w:ascii="Arial" w:cs="Arial" w:eastAsia="Arial" w:hAnsi="Arial"/>
                <w:sz w:val="18"/>
                <w:szCs w:val="18"/>
                <w:color w:val="auto"/>
              </w:rPr>
              <w:t>No Adverse Interpretation of Other Agreements</w:t>
            </w: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13.11</w:t>
            </w:r>
          </w:p>
        </w:tc>
        <w:tc>
          <w:tcPr>
            <w:tcW w:w="8720" w:type="dxa"/>
            <w:vAlign w:val="bottom"/>
          </w:tcPr>
          <w:p>
            <w:pPr>
              <w:ind w:left="300"/>
              <w:spacing w:after="0"/>
              <w:rPr>
                <w:sz w:val="20"/>
                <w:szCs w:val="20"/>
                <w:color w:val="auto"/>
              </w:rPr>
            </w:pPr>
            <w:r>
              <w:rPr>
                <w:rFonts w:ascii="Arial" w:cs="Arial" w:eastAsia="Arial" w:hAnsi="Arial"/>
                <w:sz w:val="18"/>
                <w:szCs w:val="18"/>
                <w:color w:val="auto"/>
              </w:rPr>
              <w:t>Successors</w:t>
            </w: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13.12</w:t>
            </w:r>
          </w:p>
        </w:tc>
        <w:tc>
          <w:tcPr>
            <w:tcW w:w="872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13.13</w:t>
            </w:r>
          </w:p>
        </w:tc>
        <w:tc>
          <w:tcPr>
            <w:tcW w:w="8720" w:type="dxa"/>
            <w:vAlign w:val="bottom"/>
          </w:tcPr>
          <w:p>
            <w:pPr>
              <w:ind w:left="300"/>
              <w:spacing w:after="0"/>
              <w:rPr>
                <w:sz w:val="20"/>
                <w:szCs w:val="20"/>
                <w:color w:val="auto"/>
              </w:rPr>
            </w:pPr>
            <w:r>
              <w:rPr>
                <w:rFonts w:ascii="Arial" w:cs="Arial" w:eastAsia="Arial" w:hAnsi="Arial"/>
                <w:sz w:val="18"/>
                <w:szCs w:val="18"/>
                <w:color w:val="auto"/>
              </w:rPr>
              <w:t>Counterpart Originals</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13.14</w:t>
            </w:r>
          </w:p>
        </w:tc>
        <w:tc>
          <w:tcPr>
            <w:tcW w:w="8720" w:type="dxa"/>
            <w:vAlign w:val="bottom"/>
          </w:tcPr>
          <w:p>
            <w:pPr>
              <w:ind w:left="300"/>
              <w:spacing w:after="0"/>
              <w:rPr>
                <w:sz w:val="20"/>
                <w:szCs w:val="20"/>
                <w:color w:val="auto"/>
              </w:rPr>
            </w:pPr>
            <w:r>
              <w:rPr>
                <w:rFonts w:ascii="Arial" w:cs="Arial" w:eastAsia="Arial" w:hAnsi="Arial"/>
                <w:sz w:val="18"/>
                <w:szCs w:val="18"/>
                <w:color w:val="auto"/>
              </w:rPr>
              <w:t>Table of Contents, Headings, etc.</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13.15</w:t>
            </w:r>
          </w:p>
        </w:tc>
        <w:tc>
          <w:tcPr>
            <w:tcW w:w="8720" w:type="dxa"/>
            <w:vAlign w:val="bottom"/>
          </w:tcPr>
          <w:p>
            <w:pPr>
              <w:ind w:left="300"/>
              <w:spacing w:after="0"/>
              <w:rPr>
                <w:sz w:val="20"/>
                <w:szCs w:val="20"/>
                <w:color w:val="auto"/>
              </w:rPr>
            </w:pPr>
            <w:r>
              <w:rPr>
                <w:rFonts w:ascii="Arial" w:cs="Arial" w:eastAsia="Arial" w:hAnsi="Arial"/>
                <w:sz w:val="18"/>
                <w:szCs w:val="18"/>
                <w:color w:val="auto"/>
              </w:rPr>
              <w:t>Currency of Account; Conversion of Currency; Foreign Exchange Restrictions</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13.16</w:t>
            </w:r>
          </w:p>
        </w:tc>
        <w:tc>
          <w:tcPr>
            <w:tcW w:w="8720" w:type="dxa"/>
            <w:vAlign w:val="bottom"/>
          </w:tcPr>
          <w:p>
            <w:pPr>
              <w:ind w:left="300"/>
              <w:spacing w:after="0"/>
              <w:rPr>
                <w:sz w:val="20"/>
                <w:szCs w:val="20"/>
                <w:color w:val="auto"/>
              </w:rPr>
            </w:pPr>
            <w:r>
              <w:rPr>
                <w:rFonts w:ascii="Arial" w:cs="Arial" w:eastAsia="Arial" w:hAnsi="Arial"/>
                <w:sz w:val="18"/>
                <w:szCs w:val="18"/>
                <w:color w:val="auto"/>
              </w:rPr>
              <w:t>Consent to Jurisdiction and Service</w:t>
            </w: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13.17</w:t>
            </w:r>
          </w:p>
        </w:tc>
        <w:tc>
          <w:tcPr>
            <w:tcW w:w="8720" w:type="dxa"/>
            <w:vAlign w:val="bottom"/>
          </w:tcPr>
          <w:p>
            <w:pPr>
              <w:ind w:left="300"/>
              <w:spacing w:after="0"/>
              <w:rPr>
                <w:sz w:val="20"/>
                <w:szCs w:val="20"/>
                <w:color w:val="auto"/>
              </w:rPr>
            </w:pPr>
            <w:r>
              <w:rPr>
                <w:rFonts w:ascii="Arial" w:cs="Arial" w:eastAsia="Arial" w:hAnsi="Arial"/>
                <w:sz w:val="18"/>
                <w:szCs w:val="18"/>
                <w:color w:val="auto"/>
              </w:rPr>
              <w:t>Electronic Transmission</w:t>
            </w: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13.18</w:t>
            </w:r>
          </w:p>
        </w:tc>
        <w:tc>
          <w:tcPr>
            <w:tcW w:w="8720" w:type="dxa"/>
            <w:vAlign w:val="bottom"/>
          </w:tcPr>
          <w:p>
            <w:pPr>
              <w:ind w:left="300"/>
              <w:spacing w:after="0"/>
              <w:rPr>
                <w:sz w:val="20"/>
                <w:szCs w:val="20"/>
                <w:color w:val="auto"/>
              </w:rPr>
            </w:pPr>
            <w:r>
              <w:rPr>
                <w:rFonts w:ascii="Arial" w:cs="Arial" w:eastAsia="Arial" w:hAnsi="Arial"/>
                <w:sz w:val="18"/>
                <w:szCs w:val="18"/>
                <w:color w:val="auto"/>
              </w:rPr>
              <w:t>Patriot Act</w:t>
            </w: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SECTION 13.19</w:t>
            </w:r>
          </w:p>
        </w:tc>
        <w:tc>
          <w:tcPr>
            <w:tcW w:w="8720" w:type="dxa"/>
            <w:vAlign w:val="bottom"/>
          </w:tcPr>
          <w:p>
            <w:pPr>
              <w:ind w:left="300"/>
              <w:spacing w:after="0"/>
              <w:rPr>
                <w:sz w:val="20"/>
                <w:szCs w:val="20"/>
                <w:color w:val="auto"/>
              </w:rPr>
            </w:pPr>
            <w:r>
              <w:rPr>
                <w:rFonts w:ascii="Arial" w:cs="Arial" w:eastAsia="Arial" w:hAnsi="Arial"/>
                <w:sz w:val="18"/>
                <w:szCs w:val="18"/>
                <w:color w:val="auto"/>
              </w:rPr>
              <w:t>Further Assurances</w:t>
            </w: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EXHIBITS</w:t>
            </w:r>
          </w:p>
        </w:tc>
        <w:tc>
          <w:tcPr>
            <w:tcW w:w="60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Exhibit A</w:t>
            </w:r>
          </w:p>
        </w:tc>
        <w:tc>
          <w:tcPr>
            <w:tcW w:w="9320" w:type="dxa"/>
            <w:vAlign w:val="bottom"/>
            <w:gridSpan w:val="2"/>
          </w:tcPr>
          <w:p>
            <w:pPr>
              <w:ind w:left="100"/>
              <w:spacing w:after="0"/>
              <w:rPr>
                <w:sz w:val="20"/>
                <w:szCs w:val="20"/>
                <w:color w:val="auto"/>
              </w:rPr>
            </w:pPr>
            <w:r>
              <w:rPr>
                <w:rFonts w:ascii="Arial" w:cs="Arial" w:eastAsia="Arial" w:hAnsi="Arial"/>
                <w:sz w:val="18"/>
                <w:szCs w:val="18"/>
                <w:color w:val="auto"/>
              </w:rPr>
              <w:t>Form of Note</w:t>
            </w:r>
          </w:p>
        </w:tc>
        <w:tc>
          <w:tcPr>
            <w:tcW w:w="920" w:type="dxa"/>
            <w:vAlign w:val="bottom"/>
          </w:tcPr>
          <w:p>
            <w:pPr>
              <w:spacing w:after="0"/>
              <w:rPr>
                <w:sz w:val="24"/>
                <w:szCs w:val="24"/>
                <w:color w:val="auto"/>
              </w:rPr>
            </w:pP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w w:val="93"/>
              </w:rPr>
              <w:t>Exhibit BForm of Certificate of Transfer</w:t>
            </w:r>
          </w:p>
        </w:tc>
        <w:tc>
          <w:tcPr>
            <w:tcW w:w="920" w:type="dxa"/>
            <w:vAlign w:val="bottom"/>
          </w:tcPr>
          <w:p>
            <w:pPr>
              <w:spacing w:after="0"/>
              <w:rPr>
                <w:sz w:val="18"/>
                <w:szCs w:val="18"/>
                <w:color w:val="auto"/>
              </w:rPr>
            </w:pP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w w:val="92"/>
              </w:rPr>
              <w:t>Exhibit CForm of Certificate of Exchange</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D</w:t>
            </w:r>
          </w:p>
        </w:tc>
        <w:tc>
          <w:tcPr>
            <w:tcW w:w="9320" w:type="dxa"/>
            <w:vAlign w:val="bottom"/>
            <w:gridSpan w:val="2"/>
          </w:tcPr>
          <w:p>
            <w:pPr>
              <w:ind w:left="100"/>
              <w:spacing w:after="0"/>
              <w:rPr>
                <w:sz w:val="20"/>
                <w:szCs w:val="20"/>
                <w:color w:val="auto"/>
              </w:rPr>
            </w:pPr>
            <w:r>
              <w:rPr>
                <w:rFonts w:ascii="Arial" w:cs="Arial" w:eastAsia="Arial" w:hAnsi="Arial"/>
                <w:sz w:val="18"/>
                <w:szCs w:val="18"/>
                <w:color w:val="auto"/>
              </w:rPr>
              <w:t>Form of Supplemental Indenture to Be Delivered by Subsequent Guarantors</w:t>
            </w:r>
          </w:p>
        </w:tc>
        <w:tc>
          <w:tcPr>
            <w:tcW w:w="92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Exhibit E</w:t>
            </w:r>
          </w:p>
        </w:tc>
        <w:tc>
          <w:tcPr>
            <w:tcW w:w="9320" w:type="dxa"/>
            <w:vAlign w:val="bottom"/>
            <w:gridSpan w:val="2"/>
          </w:tcPr>
          <w:p>
            <w:pPr>
              <w:ind w:left="100"/>
              <w:spacing w:after="0"/>
              <w:rPr>
                <w:sz w:val="20"/>
                <w:szCs w:val="20"/>
                <w:color w:val="auto"/>
              </w:rPr>
            </w:pPr>
            <w:r>
              <w:rPr>
                <w:rFonts w:ascii="Arial" w:cs="Arial" w:eastAsia="Arial" w:hAnsi="Arial"/>
                <w:sz w:val="18"/>
                <w:szCs w:val="18"/>
                <w:color w:val="auto"/>
              </w:rPr>
              <w:t>Agreed Security Principles</w:t>
            </w:r>
          </w:p>
        </w:tc>
        <w:tc>
          <w:tcPr>
            <w:tcW w:w="920" w:type="dxa"/>
            <w:vAlign w:val="bottom"/>
          </w:tcPr>
          <w:p>
            <w:pPr>
              <w:spacing w:after="0"/>
              <w:rPr>
                <w:sz w:val="20"/>
                <w:szCs w:val="20"/>
                <w:color w:val="auto"/>
              </w:rPr>
            </w:pPr>
          </w:p>
        </w:tc>
      </w:tr>
    </w:tbl>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60"/>
          </w:cols>
          <w:pgMar w:left="240" w:top="382" w:right="499" w:bottom="1440" w:gutter="0" w:footer="0" w:header="0"/>
        </w:sectPr>
      </w:pPr>
    </w:p>
    <w:bookmarkStart w:id="203" w:name="page204"/>
    <w:bookmarkEnd w:id="203"/>
    <w:p>
      <w:pPr>
        <w:ind w:right="26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INDENTURE, dated as of December 7, 2015, among Freescale Semiconductor, Inc., a Delaware corporation, and the Guarantors (as defined herein) listed on the signature pages hereto and Wells Fargo Bank, National Association, as Trustee.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WHEREAS, the Issuer (as defined herein) has duly authorized the creation of an issue of $960,000,000 aggregate principal amount of the Issuer’s 6.000% senior secured notes due 2022 (the “</w:t>
      </w:r>
      <w:r>
        <w:rPr>
          <w:rFonts w:ascii="Arial" w:cs="Arial" w:eastAsia="Arial" w:hAnsi="Arial"/>
          <w:sz w:val="18"/>
          <w:szCs w:val="18"/>
          <w:u w:val="single" w:color="auto"/>
          <w:color w:val="auto"/>
        </w:rPr>
        <w:t>Initial Notes</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Issuer and each of the Guarantors has duly authorized the execution and delivery of this Indenture; and</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WHEREAS, this Indenture has been amended and restated in accordance with its terms following the successful solicitation of consents from the Holders of the Notes pursuant to a consent solicitation that was launched on March 23, 2015 and that expired on April 2, 2015. The Issuer is undertaking the consent solicitation pursuant to the Merger Agreement (as defined herein).</w:t>
      </w:r>
    </w:p>
    <w:p>
      <w:pPr>
        <w:spacing w:after="0" w:line="18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NOW, THEREFORE, the Issuer, the Guarantors and the Trustee agree as follows for the benefit of each other and for the equal and ratable benefit of the Holders of the Notes.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144A Global Note</w:t>
      </w:r>
      <w:r>
        <w:rPr>
          <w:rFonts w:ascii="Arial" w:cs="Arial" w:eastAsia="Arial" w:hAnsi="Arial"/>
          <w:sz w:val="18"/>
          <w:szCs w:val="18"/>
          <w:color w:val="auto"/>
        </w:rPr>
        <w:t xml:space="preserve">” means a Global Note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applicable series of Notes sold in reliance on Rule 144A.</w:t>
      </w:r>
    </w:p>
    <w:p>
      <w:pPr>
        <w:spacing w:after="0" w:line="18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300 Millimeter R&amp;D Expenses</w:t>
      </w:r>
      <w:r>
        <w:rPr>
          <w:rFonts w:ascii="Arial" w:cs="Arial" w:eastAsia="Arial" w:hAnsi="Arial"/>
          <w:sz w:val="16"/>
          <w:szCs w:val="16"/>
          <w:color w:val="auto"/>
        </w:rPr>
        <w:t>” means, with respect to any period, the amount of research and development expenses of Holdings III and its Restricted Subsidiaries for such period, on a consolidated basis, relating to any 300 millimeter or larger wafer fabrication alliance or arrangement of Holdings</w:t>
      </w:r>
    </w:p>
    <w:p>
      <w:pPr>
        <w:ind w:right="100" w:firstLine="8"/>
        <w:spacing w:after="0" w:line="271" w:lineRule="auto"/>
        <w:tabs>
          <w:tab w:leader="none" w:pos="22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or any of its Restricted Subsidiaries other than the strategic alliance relating to the manufacturing of 300 millimeter wafers in Crolles, France in existence on the Transaction Date (any such alliance or arrangement, a “300 Millimeter Arrangement”);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amount of such research and development expenses with respect to any such 300 Millimeter Arrangement constituting 300 Millimeter R&amp;D Expenses for such period for purposes hereof shall not exceed the greater of (i) the amount of any negative EBITDA with respect to such 300 Millimeter Arrangement for such period and (ii) the amount of any Equalization Payments with respect to such 300 Millimeter Arrangement for such period.</w:t>
      </w:r>
    </w:p>
    <w:p>
      <w:pPr>
        <w:spacing w:after="0" w:line="179"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300 Millimeter Asset Sale</w:t>
      </w:r>
      <w:r>
        <w:rPr>
          <w:rFonts w:ascii="Arial" w:cs="Arial" w:eastAsia="Arial" w:hAnsi="Arial"/>
          <w:sz w:val="18"/>
          <w:szCs w:val="18"/>
          <w:color w:val="auto"/>
        </w:rPr>
        <w:t xml:space="preserve">” means any sale of any assets of Holdings III or any Restricted Subsidiary relating to the Issuer’s alliance with respect to the 300 millimeter wafer fabrication in Crolles, France;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asset sale shall constitute a 300 Millimeter Asset Sale to the extent that, after giving effect to such asset sale, the aggregate amount of 300 Millimeter Asset Sale Proceeds with respect to all 300 Millimeter Asset Sales shall exceed $500 million.</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300 Millimeter Asset Sale Proceeds</w:t>
      </w:r>
      <w:r>
        <w:rPr>
          <w:rFonts w:ascii="Arial" w:cs="Arial" w:eastAsia="Arial" w:hAnsi="Arial"/>
          <w:sz w:val="18"/>
          <w:szCs w:val="18"/>
          <w:color w:val="auto"/>
        </w:rPr>
        <w:t>” means the aggregate cash proceeds received by Holdings III or any of its Restricted Subsidiaries in respect of any 300 Millimeter Asset Sale, including any cash received upon the sale or other disposition of any Designated Non-cash Consideration received in any 300 Millimeter Asset Sale, net of the direct costs relating to such 300</w:t>
      </w:r>
    </w:p>
    <w:p>
      <w:pPr>
        <w:sectPr>
          <w:pgSz w:w="11900" w:h="16838" w:orient="portrait"/>
          <w:cols w:equalWidth="0" w:num="1">
            <w:col w:w="11380"/>
          </w:cols>
          <w:pgMar w:left="240" w:top="274" w:right="279" w:bottom="1440" w:gutter="0" w:footer="0" w:header="0"/>
        </w:sectPr>
      </w:pPr>
    </w:p>
    <w:bookmarkStart w:id="204" w:name="page205"/>
    <w:bookmarkEnd w:id="20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Millimeter Asset Sale and the sale or disposition of such Designated Non-cash Consideration, including legal, accounting and investment banking fees, and brokerage and sales commissions, any relocation expenses incurred as a result thereof, taxes paid or payable as a result thereof (after taking into account any available tax credits or deductions and any tax sharing arrangements), amounts required to be applied to the repayment of principal, premium, if any, and interest on Senior Indebtedness required to be paid as a result of such transaction and any deduction of appropriate amounts to be provided by Holdings III or any of its Restricted Subsidiaries as a reserve in accordance with GAAP against any liabilities associated with the asset disposed of in such transaction and retained by Holdings III or any of its Restricted Subsidiaries after such sale or other disposition thereof, including pension and other post-employment benefit liabilities and liabilities related to environmental matters or against any indemnification obligations associated with such transaction.</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60" w:right="280" w:firstLine="443"/>
        <w:spacing w:after="0" w:line="264" w:lineRule="auto"/>
        <w:tabs>
          <w:tab w:leader="none" w:pos="115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Restricted Subsidiary of such specified Person, including Indebtedness incurred in connection with, or in contemplation of, such other Person merging with or into or becoming a Restricted Subsidiary of such specified Person,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the transactions contemplated by the Transaction Agreement.</w:t>
      </w:r>
    </w:p>
    <w:p>
      <w:pPr>
        <w:spacing w:after="0" w:line="225"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First Lien Debt</w:t>
      </w:r>
      <w:r>
        <w:rPr>
          <w:rFonts w:ascii="Arial" w:cs="Arial" w:eastAsia="Arial" w:hAnsi="Arial"/>
          <w:sz w:val="17"/>
          <w:szCs w:val="17"/>
          <w:color w:val="auto"/>
        </w:rPr>
        <w:t xml:space="preserve">” means the Notes (including Guarantees of the Notes), the Existing Secured Notes (including Guarantees of the Existing Secured Notes) and any indebtedness of the Issuer and any Guarantor (other than indebtedness constituting Senior Credit Agreement Obligations) secured by the Collateral on a </w:t>
      </w:r>
      <w:r>
        <w:rPr>
          <w:rFonts w:ascii="Arial" w:cs="Arial" w:eastAsia="Arial" w:hAnsi="Arial"/>
          <w:sz w:val="17"/>
          <w:szCs w:val="17"/>
          <w:i w:val="1"/>
          <w:iCs w:val="1"/>
          <w:u w:val="single" w:color="auto"/>
          <w:color w:val="auto"/>
        </w:rPr>
        <w:t>pari passu</w:t>
      </w:r>
      <w:r>
        <w:rPr>
          <w:rFonts w:ascii="Arial" w:cs="Arial" w:eastAsia="Arial" w:hAnsi="Arial"/>
          <w:sz w:val="17"/>
          <w:szCs w:val="17"/>
          <w:color w:val="auto"/>
        </w:rPr>
        <w:t xml:space="preserve"> basis (but without regard to control of remedies) with the Senior Credit Agreement Obligations (subject to the priority of payments to the Credit Facility Obligations permitted under the definition of Permitted Liens);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indebtedness is permitted to be incurred, secured and guaranteed on such basis by each First Lien Debt Document and (ii) the representative for the holders of such indebtedness is, in the case of the Collateral Agent, a party to the Intercreditor Agreement, or in the case of any Additional First Lien Debt entered into after the Issue Date, shall have become party to the Intercreditor Agreement.</w:t>
      </w:r>
    </w:p>
    <w:p>
      <w:pPr>
        <w:spacing w:after="0" w:line="17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First Lien Debt Collateral Documents</w:t>
      </w:r>
      <w:r>
        <w:rPr>
          <w:rFonts w:ascii="Arial" w:cs="Arial" w:eastAsia="Arial" w:hAnsi="Arial"/>
          <w:sz w:val="18"/>
          <w:szCs w:val="18"/>
          <w:color w:val="auto"/>
        </w:rPr>
        <w:t>” means the Collateral Documents relating to the Notes and each other agreement, instrument or other document entered into in favor of the representative for any class of Secured Parties under any class of Additional First Lien Debt for the purposes of securing such Additional First Lien Debt Obligations.</w:t>
      </w:r>
    </w:p>
    <w:p>
      <w:pPr>
        <w:spacing w:after="0" w:line="18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First Lien Debt Documents</w:t>
      </w:r>
      <w:r>
        <w:rPr>
          <w:rFonts w:ascii="Arial" w:cs="Arial" w:eastAsia="Arial" w:hAnsi="Arial"/>
          <w:sz w:val="18"/>
          <w:szCs w:val="18"/>
          <w:color w:val="auto"/>
        </w:rPr>
        <w:t>” means, with respect to any class of Additional First Lien Debt, the promissory notes, indentures, Additional First Lien Debt Collateral Documents or other operative agreements evidencing or governing such Additional First Lien Debt Obligations, as the same may be amended, restated, supplemented or otherwise modified from time to time.</w:t>
      </w:r>
    </w:p>
    <w:p>
      <w:pPr>
        <w:spacing w:after="0" w:line="181" w:lineRule="exact"/>
        <w:rPr>
          <w:sz w:val="20"/>
          <w:szCs w:val="20"/>
          <w:color w:val="auto"/>
        </w:rPr>
      </w:pPr>
    </w:p>
    <w:p>
      <w:pPr>
        <w:ind w:right="20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First Lien Debt Obligations</w:t>
      </w:r>
      <w:r>
        <w:rPr>
          <w:rFonts w:ascii="Arial" w:cs="Arial" w:eastAsia="Arial" w:hAnsi="Arial"/>
          <w:sz w:val="16"/>
          <w:szCs w:val="16"/>
          <w:color w:val="auto"/>
        </w:rPr>
        <w:t>” means, with respect to any class of Additional First Lien Debt, (a) all principal of and interest (including, without limitation, any interest which accrues after the commencement of any case, proceeding or other action relating to the bankruptcy, insolvency or reorganization of the Issuer, whether or not allowed or allowable as a claim in any such proceeding) payable with respect to such Additional First Lien Debt, (b) all other amounts payable to the related Additional First Lien Debt Parties under the related Additional First Lien Debt Documents and</w:t>
      </w:r>
    </w:p>
    <w:p>
      <w:pPr>
        <w:spacing w:after="0" w:line="2" w:lineRule="exact"/>
        <w:rPr>
          <w:sz w:val="20"/>
          <w:szCs w:val="20"/>
          <w:color w:val="auto"/>
        </w:rPr>
      </w:pPr>
    </w:p>
    <w:p>
      <w:pPr>
        <w:ind w:right="560" w:firstLine="8"/>
        <w:spacing w:after="0" w:line="261" w:lineRule="auto"/>
        <w:tabs>
          <w:tab w:leader="none" w:pos="24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any renewals, extensions or refinancings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(c), the representative in respect of such class has executed and delivered a joinder agreement in compliance with the Intercreditor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05" w:name="page206"/>
    <w:bookmarkEnd w:id="205"/>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Additional First Lien Debt Parties</w:t>
      </w:r>
      <w:r>
        <w:rPr>
          <w:rFonts w:ascii="Arial" w:cs="Arial" w:eastAsia="Arial" w:hAnsi="Arial"/>
          <w:sz w:val="18"/>
          <w:szCs w:val="18"/>
          <w:color w:val="auto"/>
        </w:rPr>
        <w:t>” means, with respect to any class of Additional First Lien Debt, the holders of such Indebtedness from time to time, any trustee or agent therefor under any related Additional First Lien Debt Documents, and the beneficiaries of each indemnification obligation undertaken by the Issuer or any obligor under any related Additional First Lien Debt Documents.</w:t>
      </w:r>
    </w:p>
    <w:p>
      <w:pPr>
        <w:spacing w:after="0" w:line="181"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means additional Notes (other than the Initial Notes) issued from time to time under this Indenture in accordance with Sections 2.01 and 4.09 hereof.</w:t>
      </w:r>
    </w:p>
    <w:p>
      <w:pPr>
        <w:spacing w:after="0" w:line="170"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or Paying Agent.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Agreed Security Principles</w:t>
      </w:r>
      <w:r>
        <w:rPr>
          <w:rFonts w:ascii="Arial" w:cs="Arial" w:eastAsia="Arial" w:hAnsi="Arial"/>
          <w:sz w:val="17"/>
          <w:szCs w:val="17"/>
          <w:color w:val="auto"/>
        </w:rPr>
        <w:t>” means the Agreed Security Principles as set out in Exhibit E, as applied reasonably and in good faith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Authorized Representative</w:t>
      </w:r>
      <w:r>
        <w:rPr>
          <w:rFonts w:ascii="Arial" w:cs="Arial" w:eastAsia="Arial" w:hAnsi="Arial"/>
          <w:sz w:val="18"/>
          <w:szCs w:val="18"/>
          <w:color w:val="auto"/>
        </w:rPr>
        <w:t>” shall have the meaning set forth in the Intercreditor Agreement.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Currency Equivalent</w:t>
      </w:r>
      <w:r>
        <w:rPr>
          <w:rFonts w:ascii="Arial" w:cs="Arial" w:eastAsia="Arial" w:hAnsi="Arial"/>
          <w:sz w:val="18"/>
          <w:szCs w:val="18"/>
          <w:color w:val="auto"/>
        </w:rPr>
        <w:t>” means, with respect to any monetary amount in a currency other than U.S. dollars, at any time for the determination thereof, the amount of U.S. dollars obtained by converting such foreign currency involved in such computation into U.S. dollars, at the spot rate for the purchase of U.S. dollars, with the applicable foreign currency as quoted by Reuters at approximately 10:00 A.M. (New York time) on the date that is two Business Days prior to such determination.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Premium</w:t>
      </w:r>
      <w:r>
        <w:rPr>
          <w:rFonts w:ascii="Arial" w:cs="Arial" w:eastAsia="Arial" w:hAnsi="Arial"/>
          <w:sz w:val="18"/>
          <w:szCs w:val="18"/>
          <w:color w:val="auto"/>
        </w:rPr>
        <w:t>” means, with respect to any Note on any Redemption Date, the greater of:</w:t>
      </w:r>
    </w:p>
    <w:p>
      <w:pPr>
        <w:spacing w:after="0" w:line="117" w:lineRule="exact"/>
        <w:rPr>
          <w:sz w:val="20"/>
          <w:szCs w:val="20"/>
          <w:color w:val="auto"/>
        </w:rPr>
      </w:pPr>
    </w:p>
    <w:p>
      <w:pPr>
        <w:ind w:left="1160" w:hanging="257"/>
        <w:spacing w:after="0"/>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117" w:lineRule="exact"/>
        <w:rPr>
          <w:rFonts w:ascii="Arial" w:cs="Arial" w:eastAsia="Arial" w:hAnsi="Arial"/>
          <w:sz w:val="18"/>
          <w:szCs w:val="18"/>
          <w:color w:val="auto"/>
        </w:rPr>
      </w:pPr>
    </w:p>
    <w:p>
      <w:pPr>
        <w:ind w:left="460" w:right="40" w:firstLine="443"/>
        <w:spacing w:after="0" w:line="259" w:lineRule="auto"/>
        <w:tabs>
          <w:tab w:leader="none" w:pos="115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excess, if any, of (a) the present value at such Redemption Date of (i) the redemption price of such Note at November 15, 2016 (such redemption price being set forth in Section 3.07(d) hereof) plus (ii) all required interest payments due on such Note through November 15, 2016 (excluding accrued but unpaid interest to the Redemption Date), computed using a discount rate equal to the Treasury Rate as of such Redemption Date plus 50 basis points; over (b) the principal amount of such Note.</w:t>
      </w:r>
    </w:p>
    <w:p>
      <w:pPr>
        <w:spacing w:after="0" w:line="18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The Applicable Premium shall be calculated, or caused to be calculated, by the Issuer. The Issuer shall deliver such calculation to the Trustee prior to the applicable Redemption Date, and the Trustee shall not be responsible for such calculation.</w:t>
      </w:r>
    </w:p>
    <w:p>
      <w:pPr>
        <w:spacing w:after="0" w:line="170" w:lineRule="exact"/>
        <w:rPr>
          <w:sz w:val="20"/>
          <w:szCs w:val="20"/>
          <w:color w:val="auto"/>
        </w:rPr>
      </w:pPr>
    </w:p>
    <w:p>
      <w:pPr>
        <w:ind w:right="7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that apply to such transfer or exchange.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06" w:name="page207"/>
    <w:bookmarkEnd w:id="20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460" w:right="180" w:firstLine="443"/>
        <w:spacing w:after="0" w:line="264" w:lineRule="auto"/>
        <w:tabs>
          <w:tab w:leader="none" w:pos="1153"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by way of a Sale and Lease-Back Transaction) of the Company or any of its Restricted Subsidiaries (each referred to in this definition as a “disposition”); or</w:t>
      </w:r>
    </w:p>
    <w:p>
      <w:pPr>
        <w:spacing w:after="0" w:line="73" w:lineRule="exact"/>
        <w:rPr>
          <w:rFonts w:ascii="Arial" w:cs="Arial" w:eastAsia="Arial" w:hAnsi="Arial"/>
          <w:sz w:val="18"/>
          <w:szCs w:val="18"/>
          <w:color w:val="auto"/>
        </w:rPr>
      </w:pPr>
    </w:p>
    <w:p>
      <w:pPr>
        <w:ind w:left="460" w:right="780" w:firstLine="443"/>
        <w:spacing w:after="0" w:line="277" w:lineRule="auto"/>
        <w:tabs>
          <w:tab w:leader="none" w:pos="1153"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issuance or sale of Equity Interests of any Restricted Subsidiary (other than Preferred Stock of Restricted Subsidiaries issued in compliance with Section 4.09 hereof), whether in a single transaction or a series of related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each case, other than:</w:t>
      </w:r>
    </w:p>
    <w:p>
      <w:pPr>
        <w:spacing w:after="0" w:line="117" w:lineRule="exact"/>
        <w:rPr>
          <w:sz w:val="20"/>
          <w:szCs w:val="20"/>
          <w:color w:val="auto"/>
        </w:rPr>
      </w:pPr>
    </w:p>
    <w:p>
      <w:pPr>
        <w:ind w:left="460" w:right="160" w:firstLine="443"/>
        <w:spacing w:after="0" w:line="277" w:lineRule="auto"/>
        <w:tabs>
          <w:tab w:leader="none" w:pos="114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disposition of Cash Equivalents or Investment Grade Securities or obsolete or worn out equipment in the ordinary course of business or any disposition of inventory or goods (or other assets) no longer used in the ordinary course of business;</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disposition of all or substantially all of the assets of the Company or the Issuer in a manner permitted pursuant to the provisions described under Section 5.01 hereof or any disposition that constitutes a Change of Control pursuant to this Indenture;</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making of any Restricted Payment or Permitted Investment that is permitted to be made, and is made, under Section 4.07 hereof;</w:t>
      </w:r>
    </w:p>
    <w:p>
      <w:pPr>
        <w:spacing w:after="0" w:line="128" w:lineRule="exact"/>
        <w:rPr>
          <w:rFonts w:ascii="Arial" w:cs="Arial" w:eastAsia="Arial" w:hAnsi="Arial"/>
          <w:sz w:val="17"/>
          <w:szCs w:val="17"/>
          <w:color w:val="auto"/>
        </w:rPr>
      </w:pPr>
    </w:p>
    <w:p>
      <w:pPr>
        <w:ind w:left="460" w:right="20" w:firstLine="443"/>
        <w:spacing w:after="0" w:line="277" w:lineRule="auto"/>
        <w:tabs>
          <w:tab w:leader="none" w:pos="115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disposition of assets or issuance or sale of Equity Interests of any Restricted Subsidiary in any transaction or series of related transactions with an aggregate fair market value of less than $50.0 million;</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4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disposition of property or assets by the Company or a Restricted Subsidiary of the Company, or the issuance of securities by a Restricted Subsidiary of the Company, in either case, to the Company or another Restricted Subsidiary of the Company;</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2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Internal Revenue Code of 1986, any exchange of like property (excluding any boot thereon) for use in a Similar Business;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lease, assignment or sub-lease of any real or personal property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issuance or sale of Equity Interests in, or Indebtedness or other securities of, an Unrestricted Subsidiary;</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foreclosures, condemnation or any similar action on assets or the granting of Liens not prohibited by this Indenture;</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sales of accounts receivable, or participations therein, or Securitization Assets or related assets in connection with any Qualified Securitization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Facility;</w:t>
      </w:r>
    </w:p>
    <w:p>
      <w:pPr>
        <w:spacing w:after="0" w:line="102" w:lineRule="exact"/>
        <w:rPr>
          <w:rFonts w:ascii="Arial" w:cs="Arial" w:eastAsia="Arial" w:hAnsi="Arial"/>
          <w:sz w:val="16"/>
          <w:szCs w:val="16"/>
          <w:color w:val="auto"/>
        </w:rPr>
      </w:pPr>
    </w:p>
    <w:p>
      <w:pPr>
        <w:ind w:left="460" w:right="600" w:firstLine="443"/>
        <w:spacing w:after="0" w:line="277" w:lineRule="auto"/>
        <w:tabs>
          <w:tab w:leader="none" w:pos="115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financing transaction with respect to property built or acquired by the Company or any Restricted Subsidiary after the Issue Date, including Sale and Lease-Back Transactions and asset securitizations permitted by this Indenture;</w:t>
      </w:r>
    </w:p>
    <w:p>
      <w:pPr>
        <w:spacing w:after="0" w:line="62" w:lineRule="exact"/>
        <w:rPr>
          <w:rFonts w:ascii="Arial" w:cs="Arial" w:eastAsia="Arial" w:hAnsi="Arial"/>
          <w:sz w:val="18"/>
          <w:szCs w:val="18"/>
          <w:color w:val="auto"/>
        </w:rPr>
      </w:pPr>
    </w:p>
    <w:p>
      <w:pPr>
        <w:ind w:left="460" w:right="400" w:firstLine="443"/>
        <w:spacing w:after="0" w:line="277" w:lineRule="auto"/>
        <w:tabs>
          <w:tab w:leader="none" w:pos="111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sale or discount of inventory, accounts receivable or notes receivable in the ordinary course of business or the conversion of accounts receivable to notes receivable;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07" w:name="page208"/>
    <w:bookmarkEnd w:id="207"/>
    <w:p>
      <w:pPr>
        <w:ind w:left="460" w:right="100" w:firstLine="443"/>
        <w:spacing w:after="0" w:line="277" w:lineRule="auto"/>
        <w:tabs>
          <w:tab w:leader="none" w:pos="1203" w:val="left"/>
        </w:tabs>
        <w:numPr>
          <w:ilvl w:val="0"/>
          <w:numId w:val="3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licensing or sub-licensing of intellectual property or other general intangibles in the ordinary course of business, other than the licensing of intellectual property on a long-term basis;</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other general intangibles on a long-term basis in the ordinary course or business and which do not materially interfere with the business of the Company and its Subsidiaries, taken as a whole;</w:t>
      </w:r>
    </w:p>
    <w:p>
      <w:pPr>
        <w:spacing w:after="0" w:line="62"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surrender or waiver of contract rights or the settlement, release or surrender of contract rights or other litigation claims in the ordinary course of business;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300 Millimeter Asset Sale.</w:t>
      </w:r>
    </w:p>
    <w:p>
      <w:pPr>
        <w:spacing w:after="0" w:line="225"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Person</w:t>
      </w:r>
      <w:r>
        <w:rPr>
          <w:rFonts w:ascii="Arial" w:cs="Arial" w:eastAsia="Arial" w:hAnsi="Arial"/>
          <w:sz w:val="18"/>
          <w:szCs w:val="18"/>
          <w:color w:val="auto"/>
        </w:rPr>
        <w:t>” of the Issuer or any other Person means the person or persons authorized to act on behalf of such entity by its chief executive officer, president, chief operating officer, chief financial officer or any vice president (or the equivalent of any of the foregoing) or its Board of Directors or any other governing body of such entity.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day which is not a Legal Holiday.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w:t>
      </w:r>
      <w:r>
        <w:rPr>
          <w:rFonts w:ascii="Arial" w:cs="Arial" w:eastAsia="Arial" w:hAnsi="Arial"/>
          <w:sz w:val="18"/>
          <w:szCs w:val="18"/>
          <w:color w:val="auto"/>
        </w:rPr>
        <w:t>” means, at the time any determination thereof is to be made, the amount of the liability in respect of a capital lease that would at such time be required to be capitalized and reflected as a liability on a balance sheet (excluding the footnotes thereto) prepared in accordance with GAAP.</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Software Expenditures</w:t>
      </w:r>
      <w:r>
        <w:rPr>
          <w:rFonts w:ascii="Arial" w:cs="Arial" w:eastAsia="Arial" w:hAnsi="Arial"/>
          <w:sz w:val="18"/>
          <w:szCs w:val="18"/>
          <w:color w:val="auto"/>
        </w:rPr>
        <w:t>” shall mean,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117" w:lineRule="exact"/>
        <w:rPr>
          <w:rFonts w:ascii="Arial" w:cs="Arial" w:eastAsia="Arial" w:hAnsi="Arial"/>
          <w:sz w:val="18"/>
          <w:szCs w:val="18"/>
          <w:color w:val="auto"/>
        </w:rPr>
      </w:pPr>
    </w:p>
    <w:p>
      <w:pPr>
        <w:ind w:left="5660" w:right="2980" w:hanging="4757"/>
        <w:spacing w:after="0" w:line="449" w:lineRule="auto"/>
        <w:tabs>
          <w:tab w:leader="none" w:pos="114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 pounds sterling, euros or any national currency of any participating member state of the EMU; or 5</w:t>
      </w:r>
    </w:p>
    <w:p>
      <w:pPr>
        <w:sectPr>
          <w:pgSz w:w="11900" w:h="16838" w:orient="portrait"/>
          <w:cols w:equalWidth="0" w:num="1">
            <w:col w:w="11380"/>
          </w:cols>
          <w:pgMar w:left="240" w:top="274" w:right="279" w:bottom="1440" w:gutter="0" w:footer="0" w:header="0"/>
        </w:sectPr>
      </w:pPr>
    </w:p>
    <w:bookmarkStart w:id="208" w:name="page209"/>
    <w:bookmarkEnd w:id="208"/>
    <w:p>
      <w:pPr>
        <w:ind w:left="912" w:right="600" w:firstLine="421"/>
        <w:spacing w:after="0" w:line="277" w:lineRule="auto"/>
        <w:tabs>
          <w:tab w:leader="none" w:pos="1587" w:val="left"/>
        </w:tabs>
        <w:numPr>
          <w:ilvl w:val="1"/>
          <w:numId w:val="3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any Foreign Subsidiary that is a Restricted Subsidiary, such local currencies held by them from time to time in the ordinary course of business;</w:t>
      </w:r>
    </w:p>
    <w:p>
      <w:pPr>
        <w:spacing w:after="0" w:line="62" w:lineRule="exact"/>
        <w:rPr>
          <w:rFonts w:ascii="Arial" w:cs="Arial" w:eastAsia="Arial" w:hAnsi="Arial"/>
          <w:sz w:val="18"/>
          <w:szCs w:val="18"/>
          <w:color w:val="auto"/>
        </w:rPr>
      </w:pPr>
    </w:p>
    <w:p>
      <w:pPr>
        <w:ind w:left="452" w:right="160" w:firstLine="443"/>
        <w:spacing w:after="0" w:line="264" w:lineRule="auto"/>
        <w:tabs>
          <w:tab w:leader="none" w:pos="114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w:t>
      </w:r>
    </w:p>
    <w:p>
      <w:pPr>
        <w:spacing w:after="0" w:line="73" w:lineRule="exact"/>
        <w:rPr>
          <w:rFonts w:ascii="Arial" w:cs="Arial" w:eastAsia="Arial" w:hAnsi="Arial"/>
          <w:sz w:val="18"/>
          <w:szCs w:val="18"/>
          <w:color w:val="auto"/>
        </w:rPr>
      </w:pPr>
    </w:p>
    <w:p>
      <w:pPr>
        <w:ind w:left="452" w:right="260" w:firstLine="443"/>
        <w:spacing w:after="0" w:line="259" w:lineRule="auto"/>
        <w:tabs>
          <w:tab w:leader="none" w:pos="114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bankers’ acceptances with maturities not exceeding one year and overnight bank deposits, in each case with any domestic or foreign commercial bank having capital and surplus of not less than $500.0 million in the case of U.S. banks and $100.0 million (or the U.S. dollar equivalent as of the date of determination) in the case of non-U.S. banks;</w:t>
      </w:r>
    </w:p>
    <w:p>
      <w:pPr>
        <w:spacing w:after="0" w:line="78" w:lineRule="exact"/>
        <w:rPr>
          <w:rFonts w:ascii="Arial" w:cs="Arial" w:eastAsia="Arial" w:hAnsi="Arial"/>
          <w:sz w:val="18"/>
          <w:szCs w:val="18"/>
          <w:color w:val="auto"/>
        </w:rPr>
      </w:pPr>
    </w:p>
    <w:p>
      <w:pPr>
        <w:ind w:left="452" w:right="320" w:firstLine="443"/>
        <w:spacing w:after="0" w:line="277" w:lineRule="auto"/>
        <w:tabs>
          <w:tab w:leader="none" w:pos="114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repurchase obligations for underlying securities of the types described in clauses (3), (4) and (8) entered into with any financial institution meeting the qualifications specified in clause (4) above;</w:t>
      </w:r>
    </w:p>
    <w:p>
      <w:pPr>
        <w:spacing w:after="0" w:line="62" w:lineRule="exact"/>
        <w:rPr>
          <w:rFonts w:ascii="Arial" w:cs="Arial" w:eastAsia="Arial" w:hAnsi="Arial"/>
          <w:sz w:val="18"/>
          <w:szCs w:val="18"/>
          <w:color w:val="auto"/>
        </w:rPr>
      </w:pPr>
    </w:p>
    <w:p>
      <w:pPr>
        <w:ind w:left="452" w:right="80" w:firstLine="443"/>
        <w:spacing w:after="0" w:line="264" w:lineRule="auto"/>
        <w:tabs>
          <w:tab w:leader="none" w:pos="114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commercial paper rated at least P-1 by Moody’s or at least A-1 by S&amp;P and in each case maturing within 24 months after the date of creation thereof and Indebtedness or Preferred Stock issued by Persons with a rating of “A” or higher from S&amp;P or “A2” or higher from Moody’s with maturities of 24 months or less from the date of acquisition;</w:t>
      </w:r>
    </w:p>
    <w:p>
      <w:pPr>
        <w:spacing w:after="0" w:line="73" w:lineRule="exact"/>
        <w:rPr>
          <w:rFonts w:ascii="Arial" w:cs="Arial" w:eastAsia="Arial" w:hAnsi="Arial"/>
          <w:sz w:val="18"/>
          <w:szCs w:val="18"/>
          <w:color w:val="auto"/>
        </w:rPr>
      </w:pPr>
    </w:p>
    <w:p>
      <w:pPr>
        <w:ind w:left="452" w:right="260" w:firstLine="443"/>
        <w:spacing w:after="0" w:line="264" w:lineRule="auto"/>
        <w:tabs>
          <w:tab w:leader="none" w:pos="114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marketable short-term money market and similar securities having a rating of at least P-2 or A-2 from either Moody’s or S&amp;P, respectively (or, if at any time neither Moody’s nor S&amp;P shall be rating such obligations, an equivalent rating from another Rating Agency) and in each case maturing within 24 months after the date of creation or acquisition thereof;</w:t>
      </w:r>
    </w:p>
    <w:p>
      <w:pPr>
        <w:spacing w:after="0" w:line="73" w:lineRule="exact"/>
        <w:rPr>
          <w:rFonts w:ascii="Arial" w:cs="Arial" w:eastAsia="Arial" w:hAnsi="Arial"/>
          <w:sz w:val="18"/>
          <w:szCs w:val="18"/>
          <w:color w:val="auto"/>
        </w:rPr>
      </w:pPr>
    </w:p>
    <w:p>
      <w:pPr>
        <w:ind w:left="452" w:firstLine="443"/>
        <w:spacing w:after="0" w:line="342" w:lineRule="auto"/>
        <w:tabs>
          <w:tab w:leader="none" w:pos="1145" w:val="left"/>
        </w:tabs>
        <w:numPr>
          <w:ilvl w:val="0"/>
          <w:numId w:val="321"/>
        </w:numPr>
        <w:rPr>
          <w:rFonts w:ascii="Arial" w:cs="Arial" w:eastAsia="Arial" w:hAnsi="Arial"/>
          <w:sz w:val="16"/>
          <w:szCs w:val="16"/>
          <w:color w:val="auto"/>
        </w:rPr>
      </w:pPr>
      <w:r>
        <w:rPr>
          <w:rFonts w:ascii="Arial" w:cs="Arial" w:eastAsia="Arial" w:hAnsi="Arial"/>
          <w:sz w:val="16"/>
          <w:szCs w:val="16"/>
          <w:color w:val="auto"/>
        </w:rPr>
        <w:t>readily marketable direct obligations issued by any state, commonwealth or territory of the United States or any political subdivision or taxing authority thereof having an Investment Grade Rating from either Moody’s or S&amp;P with maturities of 24 months or less from the date of acquisition;</w:t>
      </w:r>
    </w:p>
    <w:p>
      <w:pPr>
        <w:spacing w:after="0" w:line="15" w:lineRule="exact"/>
        <w:rPr>
          <w:rFonts w:ascii="Arial" w:cs="Arial" w:eastAsia="Arial" w:hAnsi="Arial"/>
          <w:sz w:val="16"/>
          <w:szCs w:val="16"/>
          <w:color w:val="auto"/>
        </w:rPr>
      </w:pPr>
    </w:p>
    <w:p>
      <w:pPr>
        <w:ind w:left="452" w:right="120" w:firstLine="443"/>
        <w:spacing w:after="0" w:line="308" w:lineRule="auto"/>
        <w:tabs>
          <w:tab w:leader="none" w:pos="1145" w:val="left"/>
        </w:tabs>
        <w:numPr>
          <w:ilvl w:val="0"/>
          <w:numId w:val="321"/>
        </w:numPr>
        <w:rPr>
          <w:rFonts w:ascii="Arial" w:cs="Arial" w:eastAsia="Arial" w:hAnsi="Arial"/>
          <w:sz w:val="17"/>
          <w:szCs w:val="17"/>
          <w:color w:val="auto"/>
        </w:rPr>
      </w:pPr>
      <w:r>
        <w:rPr>
          <w:rFonts w:ascii="Arial" w:cs="Arial" w:eastAsia="Arial" w:hAnsi="Arial"/>
          <w:sz w:val="17"/>
          <w:szCs w:val="17"/>
          <w:color w:val="auto"/>
        </w:rPr>
        <w:t>readily marketable direct obligations issued by any foreign government or any political subdivision or public instrumentality thereof, in each case having an Investment Grade Rating from either Moody’s or S&amp;P with maturities of 24 months or less from the date of acquisition;</w:t>
      </w:r>
    </w:p>
    <w:p>
      <w:pPr>
        <w:spacing w:after="0" w:line="38" w:lineRule="exact"/>
        <w:rPr>
          <w:rFonts w:ascii="Arial" w:cs="Arial" w:eastAsia="Arial" w:hAnsi="Arial"/>
          <w:sz w:val="17"/>
          <w:szCs w:val="17"/>
          <w:color w:val="auto"/>
        </w:rPr>
      </w:pPr>
    </w:p>
    <w:p>
      <w:pPr>
        <w:ind w:left="452" w:right="80" w:firstLine="443"/>
        <w:spacing w:after="0" w:line="277" w:lineRule="auto"/>
        <w:tabs>
          <w:tab w:leader="none" w:pos="123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Investments with average maturities of 12 months or less from the date of acquisition in money market funds rated AAA- (or the equivalent thereof) or better by S&amp;P or Aaa3 (or the equivalent thereof) or better by Moody’s; and</w:t>
      </w:r>
    </w:p>
    <w:p>
      <w:pPr>
        <w:spacing w:after="0" w:line="62" w:lineRule="exact"/>
        <w:rPr>
          <w:rFonts w:ascii="Arial" w:cs="Arial" w:eastAsia="Arial" w:hAnsi="Arial"/>
          <w:sz w:val="18"/>
          <w:szCs w:val="18"/>
          <w:color w:val="auto"/>
        </w:rPr>
      </w:pPr>
    </w:p>
    <w:p>
      <w:pPr>
        <w:ind w:left="1232" w:hanging="337"/>
        <w:spacing w:after="0"/>
        <w:tabs>
          <w:tab w:leader="none" w:pos="123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investment funds investing 90% of their assets in securities of the types described in clauses (1) through (10) above.</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6"/>
          <w:szCs w:val="16"/>
          <w:color w:val="auto"/>
        </w:rPr>
        <w:t>Notwithstanding the foregoing, Cash Equivalents shall include amounts denominated in currencies other than those set forth in clauses (1) and</w:t>
      </w:r>
    </w:p>
    <w:p>
      <w:pPr>
        <w:spacing w:after="0" w:line="46" w:lineRule="exact"/>
        <w:rPr>
          <w:sz w:val="20"/>
          <w:szCs w:val="20"/>
          <w:color w:val="auto"/>
        </w:rPr>
      </w:pPr>
    </w:p>
    <w:p>
      <w:pPr>
        <w:ind w:left="-8" w:right="380" w:firstLine="8"/>
        <w:spacing w:after="0" w:line="261" w:lineRule="auto"/>
        <w:tabs>
          <w:tab w:leader="none" w:pos="24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are converted into any currency listed in clauses (1) and (2) as promptly as practicable and in any event within ten Business Days following the receipt of such amounts.</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4" w:right="259" w:bottom="1440" w:gutter="0" w:footer="0" w:header="0"/>
        </w:sectPr>
      </w:pPr>
    </w:p>
    <w:bookmarkStart w:id="209" w:name="page210"/>
    <w:bookmarkEnd w:id="209"/>
    <w:p>
      <w:pPr>
        <w:ind w:right="20"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at which the value, calculated in accordance with GAAP, of all investments of the Company and its Restricted Subsidiaries that were deemed, when made, to be Cash Equivalents in accordance with clauses (1) through (11) above exceeds the Indebtedness of the Company and its Restricted Subsidiaries, “Cash Equivalents” shall also mean any investment (a “</w:t>
      </w:r>
      <w:r>
        <w:rPr>
          <w:rFonts w:ascii="Arial" w:cs="Arial" w:eastAsia="Arial" w:hAnsi="Arial"/>
          <w:sz w:val="17"/>
          <w:szCs w:val="17"/>
          <w:u w:val="single" w:color="auto"/>
          <w:color w:val="auto"/>
        </w:rPr>
        <w:t>Qualifying Investment</w:t>
      </w:r>
      <w:r>
        <w:rPr>
          <w:rFonts w:ascii="Arial" w:cs="Arial" w:eastAsia="Arial" w:hAnsi="Arial"/>
          <w:sz w:val="17"/>
          <w:szCs w:val="17"/>
          <w:color w:val="auto"/>
        </w:rPr>
        <w:t>”) that satisfies the following two conditions: (a) the Qualifying Investment is of a type described in clauses (1) through (11) of this definition, but has an effective maturity (whether by reason of final maturity, a put option or, in the case of an asset-backed security, an average life) of five years and one month or less from the date of such Qualifying Investment (notwithstanding any provision contained in such clauses (1) through (10) requiring a shorter maturity); and (b) the weighted average effective maturity of such Qualifying Investment and all other investments that were made as Qualifying Investments in accordance with this paragraph, does not exceed two years from the date of such Qualifying Investment.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460" w:right="60" w:firstLine="443"/>
        <w:spacing w:after="0" w:line="277" w:lineRule="auto"/>
        <w:tabs>
          <w:tab w:leader="none" w:pos="1153"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sale, lease or transfer, in one or a series of related transactions, of all or substantially all of the assets of the Company and its Subsidiaries, taken as a whole, to any Person other than a Permitted Holder; or</w:t>
      </w:r>
    </w:p>
    <w:p>
      <w:pPr>
        <w:spacing w:after="0" w:line="62" w:lineRule="exact"/>
        <w:rPr>
          <w:rFonts w:ascii="Arial" w:cs="Arial" w:eastAsia="Arial" w:hAnsi="Arial"/>
          <w:sz w:val="18"/>
          <w:szCs w:val="18"/>
          <w:color w:val="auto"/>
        </w:rPr>
      </w:pPr>
    </w:p>
    <w:p>
      <w:pPr>
        <w:jc w:val="both"/>
        <w:ind w:left="460" w:right="140" w:firstLine="443"/>
        <w:spacing w:after="0" w:line="288" w:lineRule="auto"/>
        <w:tabs>
          <w:tab w:leader="none" w:pos="1153" w:val="left"/>
        </w:tabs>
        <w:numPr>
          <w:ilvl w:val="1"/>
          <w:numId w:val="323"/>
        </w:numPr>
        <w:rPr>
          <w:rFonts w:ascii="Arial" w:cs="Arial" w:eastAsia="Arial" w:hAnsi="Arial"/>
          <w:sz w:val="16"/>
          <w:szCs w:val="16"/>
          <w:color w:val="auto"/>
        </w:rPr>
      </w:pPr>
      <w:r>
        <w:rPr>
          <w:rFonts w:ascii="Arial" w:cs="Arial" w:eastAsia="Arial" w:hAnsi="Arial"/>
          <w:sz w:val="16"/>
          <w:szCs w:val="16"/>
          <w:color w:val="auto"/>
        </w:rPr>
        <w:t>the Company becomes aware of (by way of a report or any other filing pursuant to Section 13(d) of the Exchange Act, proxy, vote, written notice or otherwise) the acquisition by any Person or group (within the meaning of Section 13 (d)(3) or Section 14(d)(2) of the Exchange Act, or any successor provision), including any group acting for the purpose of acquiring, holding or disposing of securities (within the meaning of Rule 13d-5(b)</w:t>
      </w:r>
    </w:p>
    <w:p>
      <w:pPr>
        <w:ind w:left="460" w:firstLine="4"/>
        <w:spacing w:after="0" w:line="273" w:lineRule="auto"/>
        <w:tabs>
          <w:tab w:leader="none" w:pos="715" w:val="left"/>
        </w:tabs>
        <w:numPr>
          <w:ilvl w:val="0"/>
          <w:numId w:val="324"/>
        </w:numPr>
        <w:rPr>
          <w:rFonts w:ascii="Arial" w:cs="Arial" w:eastAsia="Arial" w:hAnsi="Arial"/>
          <w:sz w:val="17"/>
          <w:szCs w:val="17"/>
          <w:color w:val="auto"/>
        </w:rPr>
      </w:pPr>
      <w:r>
        <w:rPr>
          <w:rFonts w:ascii="Arial" w:cs="Arial" w:eastAsia="Arial" w:hAnsi="Arial"/>
          <w:sz w:val="17"/>
          <w:szCs w:val="17"/>
          <w:color w:val="auto"/>
        </w:rPr>
        <w:t>under the Exchange Act), other than one or more Permitted Holders, in a single transaction or in a related series of transactions, by way of merger, amalgamation, consolidation or other business combination or purchase of beneficial ownership (within the meaning of Rule 13d-3 under the Exchange Act, or any successor provision) of 50% or more of the total voting power of the Voting Stock of the Company (directly or through the acquisition of voting power of Voting Stock of any of the Company’s direct or indirect parent companies).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Société Anonyme.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all assets and properties subject to Liens created pursuant to any Collateral Document to secure any Obligation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w:t>
      </w:r>
      <w:r>
        <w:rPr>
          <w:rFonts w:ascii="Arial" w:cs="Arial" w:eastAsia="Arial" w:hAnsi="Arial"/>
          <w:sz w:val="17"/>
          <w:szCs w:val="17"/>
          <w:color w:val="auto"/>
        </w:rPr>
        <w:t>” means Citibank, N.A. prior to the Merger Date, or Morgan Stanley Senior Funding, Inc., as of and after the Merger Date, each in their capacity as collateral agent for the Trustee and the Holders under the Security Agreement, and in their capacity as the collateral agent for the Senior Credit Agreement Secured Parties under the Senior Credit Agreement Collateral Documents, and, in each case, any successor thereof.</w:t>
      </w:r>
    </w:p>
    <w:p>
      <w:pPr>
        <w:spacing w:after="0" w:line="166"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Senior Credit Agreement Collateral Documents, the Additional First Lien Debt Collateral Documents and the Intercreditor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NXP B.V. a private company with limited liability incorporated under the laws of The Netherlands and its successors.</w:t>
      </w:r>
    </w:p>
    <w:p>
      <w:pPr>
        <w:spacing w:after="0" w:line="23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Expense</w:t>
      </w:r>
      <w:r>
        <w:rPr>
          <w:rFonts w:ascii="Arial" w:cs="Arial" w:eastAsia="Arial" w:hAnsi="Arial"/>
          <w:sz w:val="18"/>
          <w:szCs w:val="18"/>
          <w:color w:val="auto"/>
        </w:rPr>
        <w:t>” means with respect to any Person for any period, the total amount of depreciation and amortization expense, including the amortization of deferred financing fees or costs and Capitalized Software Expenditures of such Person and its Restricted Subsidiaries for such period on a consolidated basis and otherwise determined in accordance with GAAP.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10" w:name="page211"/>
    <w:bookmarkEnd w:id="21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without duplication, the sum of:</w:t>
      </w:r>
    </w:p>
    <w:p>
      <w:pPr>
        <w:spacing w:after="0" w:line="117" w:lineRule="exact"/>
        <w:rPr>
          <w:sz w:val="20"/>
          <w:szCs w:val="20"/>
          <w:color w:val="auto"/>
        </w:rPr>
      </w:pPr>
    </w:p>
    <w:p>
      <w:pPr>
        <w:ind w:left="460" w:firstLine="443"/>
        <w:spacing w:after="0" w:line="287" w:lineRule="auto"/>
        <w:tabs>
          <w:tab w:leader="none" w:pos="1153" w:val="left"/>
        </w:tabs>
        <w:numPr>
          <w:ilvl w:val="0"/>
          <w:numId w:val="325"/>
        </w:numPr>
        <w:rPr>
          <w:rFonts w:ascii="Arial" w:cs="Arial" w:eastAsia="Arial" w:hAnsi="Arial"/>
          <w:sz w:val="16"/>
          <w:szCs w:val="16"/>
          <w:color w:val="auto"/>
        </w:rPr>
      </w:pPr>
      <w:r>
        <w:rPr>
          <w:rFonts w:ascii="Arial" w:cs="Arial" w:eastAsia="Arial" w:hAnsi="Arial"/>
          <w:sz w:val="16"/>
          <w:szCs w:val="16"/>
          <w:color w:val="auto"/>
        </w:rPr>
        <w:t>consolidated interest expense of such Person and its Restricted Subsidiaries for such period, to the extent such expense was deducted (and not added back) in computing Consolidated Net Income (including (a) amortization of original issue discount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Hedging Obligations or other derivative instruments pursuant to GAAP), (d) the interest component of Capitalized Lease Obligations, and (e) net payments, if any made (less net payments, if any, received), pursuant to interest rate Hedging Obligations with respect to Indebtedness, and excluding (t) any expense resulting from the discounting of any Indebtedness in connection with the application of purchase accounting in connection with the Transaction, the Merger or any acquisition, (u) penalties and interest relating to taxes, (v) any “additional interest” with respect to the Existing Secured Notes, the NXP Notes or other securities, (w) amortization of deferred financing fees, debt issuance costs, commissions, fees and expenses, (x) any expensing of bridge, commitment and other financing fees, (y) commissions, discounts, yield and other fees and charges (including any interest expense) related to any Qualified Securitization Facility and (z) any accretion of accrued interest on discounted liabilities); plus</w:t>
      </w:r>
    </w:p>
    <w:p>
      <w:pPr>
        <w:spacing w:after="0" w:line="64" w:lineRule="exact"/>
        <w:rPr>
          <w:rFonts w:ascii="Arial" w:cs="Arial" w:eastAsia="Arial" w:hAnsi="Arial"/>
          <w:sz w:val="16"/>
          <w:szCs w:val="16"/>
          <w:color w:val="auto"/>
        </w:rPr>
      </w:pPr>
    </w:p>
    <w:p>
      <w:pPr>
        <w:ind w:left="1160" w:hanging="257"/>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consolidated capitalized interest of such Person and its Restricted Subsidiaries for such period, whether paid or accrued; less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interest income for such period.</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70"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with respect to any Person for any period, the aggregate of the Net Income of such Person and its Restricted Subsidiaries for such period, on a consolidated basis, and otherwise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without duplication,</w:t>
      </w:r>
    </w:p>
    <w:p>
      <w:pPr>
        <w:spacing w:after="0" w:line="16" w:lineRule="exact"/>
        <w:rPr>
          <w:sz w:val="20"/>
          <w:szCs w:val="20"/>
          <w:color w:val="auto"/>
        </w:rPr>
      </w:pPr>
    </w:p>
    <w:p>
      <w:pPr>
        <w:ind w:left="460" w:right="160" w:firstLine="443"/>
        <w:spacing w:after="0" w:line="264" w:lineRule="auto"/>
        <w:tabs>
          <w:tab w:leader="none" w:pos="115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after-tax effect of extraordinary, non-recurring or unusual gains or losses (less all fees and expenses relating thereto) or expenses (including relating to the Transaction, the Merger or any multi-year strategic initiatives), severance, relocation costs and curtailments or modifications to pension and post-retirement employee benefit plans shall be excluded,</w:t>
      </w:r>
    </w:p>
    <w:p>
      <w:pPr>
        <w:spacing w:after="0" w:line="73"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Net Income for such period shall not include the cumulative effect of a change in accounting principles and changes as a result of the adoption or modification of accounting policies during such period,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net after-tax gains or losses on disposal of disposed, abandoned or discontinued operations shall be excluded,</w:t>
      </w:r>
    </w:p>
    <w:p>
      <w:pPr>
        <w:spacing w:after="0" w:line="117" w:lineRule="exact"/>
        <w:rPr>
          <w:rFonts w:ascii="Arial" w:cs="Arial" w:eastAsia="Arial" w:hAnsi="Arial"/>
          <w:sz w:val="18"/>
          <w:szCs w:val="18"/>
          <w:color w:val="auto"/>
        </w:rPr>
      </w:pPr>
    </w:p>
    <w:p>
      <w:pPr>
        <w:ind w:left="460" w:right="60" w:firstLine="443"/>
        <w:spacing w:after="0" w:line="308" w:lineRule="auto"/>
        <w:tabs>
          <w:tab w:leader="none" w:pos="1153"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any after-tax effect of gains or losses (less all fees and expenses relating thereto) attributable to asset dispositions or abandonments or the sale or other disposition of any Capital Stock of any Person other than in the ordinary course of business shall be excluded,</w:t>
      </w:r>
    </w:p>
    <w:p>
      <w:pPr>
        <w:spacing w:after="0" w:line="38" w:lineRule="exact"/>
        <w:rPr>
          <w:rFonts w:ascii="Arial" w:cs="Arial" w:eastAsia="Arial" w:hAnsi="Arial"/>
          <w:sz w:val="17"/>
          <w:szCs w:val="17"/>
          <w:color w:val="auto"/>
        </w:rPr>
      </w:pPr>
    </w:p>
    <w:p>
      <w:pPr>
        <w:ind w:left="460" w:right="80" w:firstLine="443"/>
        <w:spacing w:after="0" w:line="259" w:lineRule="auto"/>
        <w:tabs>
          <w:tab w:leader="none" w:pos="115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Net Income for such period of any Person that is not a Subsidiary, or is an Unrestricted Subsidiary, or that is accounted for by the equity method of accounting,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of the Company shall be increased by the amount of dividends or distributions or other payments that are actually paid in cash (or to the extent converted into cash) to the Company or a Restricted Subsidiary thereof in respect of such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11" w:name="page212"/>
    <w:bookmarkEnd w:id="211"/>
    <w:p>
      <w:pPr>
        <w:ind w:firstLine="443"/>
        <w:spacing w:after="0" w:line="287" w:lineRule="auto"/>
        <w:tabs>
          <w:tab w:leader="none" w:pos="693" w:val="left"/>
        </w:tabs>
        <w:numPr>
          <w:ilvl w:val="0"/>
          <w:numId w:val="3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solely for the purpose of determining the amount available for Restricted Payments under clause (3)(A) of Section 4.07(a) hereof, the Net Income for such period of any Restricted Subsidiary (other than any Guarantor) shall be excluded to the extent that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Income of the Company will be increased by the amount of dividends or other distributions or other payments actually paid in cash (or to the extent converted into cash) to the Company or a Restricted Subsidiary thereof in respect of such period, to the extent not already included therein, effects of adjustments (including the effects of such adjustments pushed down to the Company and its Restricted Subsidiaries) in the inventory, property and equipment, software, goodwill, other intangible assets, in-process research and development, deferred revenue and debt line items in such Person’s consolidated financial statements pursuant to GAAP resulting from the application of purchase accounting in relation to the Transaction, the Merger or any consummated acquisition or the amortization or write-off of any amounts thereof, net of taxes, shall be excluded,</w:t>
      </w:r>
    </w:p>
    <w:p>
      <w:pPr>
        <w:spacing w:after="0" w:line="60" w:lineRule="exact"/>
        <w:rPr>
          <w:rFonts w:ascii="Arial" w:cs="Arial" w:eastAsia="Arial" w:hAnsi="Arial"/>
          <w:sz w:val="16"/>
          <w:szCs w:val="16"/>
          <w:color w:val="auto"/>
        </w:rPr>
      </w:pPr>
    </w:p>
    <w:p>
      <w:pPr>
        <w:ind w:right="500" w:firstLine="443"/>
        <w:spacing w:after="0" w:line="277" w:lineRule="auto"/>
        <w:tabs>
          <w:tab w:leader="none" w:pos="69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after-tax effect of income (loss) from the early extinguishment of (i) Indebtedness, (ii) Hedging Obligations or (iii) other derivative instruments shall be excluded,</w:t>
      </w:r>
    </w:p>
    <w:p>
      <w:pPr>
        <w:spacing w:after="0" w:line="62" w:lineRule="exact"/>
        <w:rPr>
          <w:rFonts w:ascii="Arial" w:cs="Arial" w:eastAsia="Arial" w:hAnsi="Arial"/>
          <w:sz w:val="18"/>
          <w:szCs w:val="18"/>
          <w:color w:val="auto"/>
        </w:rPr>
      </w:pPr>
    </w:p>
    <w:p>
      <w:pPr>
        <w:ind w:right="40" w:firstLine="443"/>
        <w:spacing w:after="0" w:line="264" w:lineRule="auto"/>
        <w:tabs>
          <w:tab w:leader="none" w:pos="69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impairment charge or asset write-off or write-down, including impairment charges or asset write-offs or write-downs related to intangible assets, long-lived assets, investments in debt and equity securities or as a result of a change in law or regulation, in each case, pursuant to GAAP, and the amortization of intangibles arising pursuant to GAAP shall be excluded,</w:t>
      </w:r>
    </w:p>
    <w:p>
      <w:pPr>
        <w:spacing w:after="0" w:line="73" w:lineRule="exact"/>
        <w:rPr>
          <w:rFonts w:ascii="Arial" w:cs="Arial" w:eastAsia="Arial" w:hAnsi="Arial"/>
          <w:sz w:val="18"/>
          <w:szCs w:val="18"/>
          <w:color w:val="auto"/>
        </w:rPr>
      </w:pPr>
    </w:p>
    <w:p>
      <w:pPr>
        <w:ind w:right="80" w:firstLine="443"/>
        <w:spacing w:after="0" w:line="277" w:lineRule="auto"/>
        <w:tabs>
          <w:tab w:leader="none" w:pos="69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non-cash compensation charge or expense including any such charge arising from the grants of stock appreciation or similar rights, stock options, restricted stock or other rights shall be excluded,</w:t>
      </w:r>
    </w:p>
    <w:p>
      <w:pPr>
        <w:spacing w:after="0" w:line="62" w:lineRule="exact"/>
        <w:rPr>
          <w:rFonts w:ascii="Arial" w:cs="Arial" w:eastAsia="Arial" w:hAnsi="Arial"/>
          <w:sz w:val="18"/>
          <w:szCs w:val="18"/>
          <w:color w:val="auto"/>
        </w:rPr>
      </w:pPr>
    </w:p>
    <w:p>
      <w:pPr>
        <w:ind w:right="160" w:firstLine="443"/>
        <w:spacing w:after="0" w:line="302" w:lineRule="auto"/>
        <w:tabs>
          <w:tab w:leader="none" w:pos="783"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any fees and expenses incurred during such period, or any amortization thereof for such period, in connection with any acquisition, Investment, Asset Sale, issuance or repayment of Indebtedness, issuance of Equity Interests, refinancing transaction or amendment or modification of any debt instrument (in each case, including any such transaction consummated prior to the Issue Date and any such transaction undertaken but not completed) and any charges or non-recurring merger costs incurred during such period as a result of any such transaction shall be excluded,</w:t>
      </w:r>
    </w:p>
    <w:p>
      <w:pPr>
        <w:spacing w:after="0" w:line="46" w:lineRule="exact"/>
        <w:rPr>
          <w:rFonts w:ascii="Arial" w:cs="Arial" w:eastAsia="Arial" w:hAnsi="Arial"/>
          <w:sz w:val="16"/>
          <w:szCs w:val="16"/>
          <w:color w:val="auto"/>
        </w:rPr>
      </w:pPr>
    </w:p>
    <w:p>
      <w:pPr>
        <w:ind w:left="780" w:hanging="337"/>
        <w:spacing w:after="0"/>
        <w:tabs>
          <w:tab w:leader="none" w:pos="7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following items shall be excluded:</w:t>
      </w:r>
    </w:p>
    <w:p>
      <w:pPr>
        <w:spacing w:after="0" w:line="117" w:lineRule="exact"/>
        <w:rPr>
          <w:rFonts w:ascii="Arial" w:cs="Arial" w:eastAsia="Arial" w:hAnsi="Arial"/>
          <w:sz w:val="18"/>
          <w:szCs w:val="18"/>
          <w:color w:val="auto"/>
        </w:rPr>
      </w:pPr>
    </w:p>
    <w:p>
      <w:pPr>
        <w:ind w:left="460" w:right="120" w:firstLine="421"/>
        <w:spacing w:after="0" w:line="277" w:lineRule="auto"/>
        <w:tabs>
          <w:tab w:leader="none" w:pos="1125"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any net unrealized gain or loss (after any offset) resulting in such period from Hedging Obligations and the application of Statement of Financial Accounting Standards No. 133; and</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2"/>
          <w:numId w:val="327"/>
        </w:numPr>
        <w:rPr>
          <w:rFonts w:ascii="Arial" w:cs="Arial" w:eastAsia="Arial" w:hAnsi="Arial"/>
          <w:sz w:val="17"/>
          <w:szCs w:val="17"/>
          <w:color w:val="auto"/>
        </w:rPr>
      </w:pPr>
      <w:r>
        <w:rPr>
          <w:rFonts w:ascii="Arial" w:cs="Arial" w:eastAsia="Arial" w:hAnsi="Arial"/>
          <w:sz w:val="17"/>
          <w:szCs w:val="17"/>
          <w:color w:val="auto"/>
        </w:rPr>
        <w:t>any net unrealized gain or loss (after any offset) resulting in such period from currency translation gains or losses including those</w:t>
      </w:r>
    </w:p>
    <w:p>
      <w:pPr>
        <w:spacing w:after="0" w:line="34" w:lineRule="exact"/>
        <w:rPr>
          <w:rFonts w:ascii="Arial" w:cs="Arial" w:eastAsia="Arial" w:hAnsi="Arial"/>
          <w:sz w:val="17"/>
          <w:szCs w:val="17"/>
          <w:color w:val="auto"/>
        </w:rPr>
      </w:pPr>
    </w:p>
    <w:p>
      <w:pPr>
        <w:ind w:left="680" w:hanging="219"/>
        <w:spacing w:after="0"/>
        <w:tabs>
          <w:tab w:leader="none" w:pos="68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related to currency remeasurements of Indebtedness and (ii) resulting from hedge agreements for currency exchange risk.</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212" w:name="page213"/>
    <w:bookmarkEnd w:id="212"/>
    <w:p>
      <w:pPr>
        <w:ind w:right="22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the extent not already included in the Consolidated Net Income of such Person and its Restricted Subsidiaries, notwithstanding anything to the contrary in the foregoing, Consolidated Net Income shall include the amount of proceeds received from business interruption insurance and reimbursements of any expenses and charges that are covered by indemnification or other reimbursement provisions in connection with any Permitted Investment or any sale, conveyance, transfer or other disposition of assets permitted under this Indenture.</w:t>
      </w:r>
    </w:p>
    <w:p>
      <w:pPr>
        <w:spacing w:after="0" w:line="171" w:lineRule="exact"/>
        <w:rPr>
          <w:sz w:val="20"/>
          <w:szCs w:val="20"/>
          <w:color w:val="auto"/>
        </w:rPr>
      </w:pPr>
    </w:p>
    <w:p>
      <w:pPr>
        <w:ind w:right="280" w:firstLine="913"/>
        <w:spacing w:after="0" w:line="273" w:lineRule="auto"/>
        <w:rPr>
          <w:sz w:val="20"/>
          <w:szCs w:val="20"/>
          <w:color w:val="auto"/>
        </w:rPr>
      </w:pPr>
      <w:r>
        <w:rPr>
          <w:rFonts w:ascii="Arial" w:cs="Arial" w:eastAsia="Arial" w:hAnsi="Arial"/>
          <w:sz w:val="17"/>
          <w:szCs w:val="17"/>
          <w:color w:val="auto"/>
        </w:rPr>
        <w:t>Notwithstanding the foregoing, for the purpose of Section 4.07 hereof only (other than clause (3)(D) of Section 4.07(a) hereof), there shall be excluded from Consolidated Net Income any income arising from any sale or other disposition of Restricted Investments made by the Company and its Restricted Subsidiaries, any repurchases and redemptions of Restricted Investments from the Company and its Restricted Subsidiaries, any repayments of loans and advances which constitute Restricted Investments by the Company or any of its Restricted Subsidiaries, any sale of the stock of an Unrestricted Subsidiary or any distribution or dividend from an Unrestricted Subsidiary, in each case only to the extent such amounts increase the amount of Restricted Payments permitted under clause (3)(D) of Section 4.07(a) hereof.</w:t>
      </w:r>
    </w:p>
    <w:p>
      <w:pPr>
        <w:spacing w:after="0" w:line="178"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Secured Debt Ratio</w:t>
      </w:r>
      <w:r>
        <w:rPr>
          <w:rFonts w:ascii="Arial" w:cs="Arial" w:eastAsia="Arial" w:hAnsi="Arial"/>
          <w:sz w:val="17"/>
          <w:szCs w:val="17"/>
          <w:color w:val="auto"/>
        </w:rPr>
        <w:t xml:space="preserve">” as of any date of determination means, the ratio of (1) Consolidated Total Indebtedness of the Company and its Restricted Subsidiaries that is secured by Liens as of the end of the most recent fiscal quarter for which internal financial statements are available immediately preceding the date on which such event for which such calculation is being made shall occur to (2) the Company’s EBITDA for the most recently ended four full fiscal quarters for which internal financial statements are available immediately preceding the date on which such event for which such calculation is being made shall occur, in each case with such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adjustments to Consolidated Total Indebtedness and EBITDA as are appropriate and consistent with the pro </w:t>
      </w:r>
      <w:r>
        <w:rPr>
          <w:rFonts w:ascii="Arial" w:cs="Arial" w:eastAsia="Arial" w:hAnsi="Arial"/>
          <w:sz w:val="17"/>
          <w:szCs w:val="17"/>
          <w:u w:val="single" w:color="auto"/>
          <w:color w:val="auto"/>
        </w:rPr>
        <w:t>forma</w:t>
      </w:r>
      <w:r>
        <w:rPr>
          <w:rFonts w:ascii="Arial" w:cs="Arial" w:eastAsia="Arial" w:hAnsi="Arial"/>
          <w:sz w:val="17"/>
          <w:szCs w:val="17"/>
          <w:color w:val="auto"/>
        </w:rPr>
        <w:t xml:space="preserve"> adjustment provisions set forth in the definition of Fixed Charge Coverage Ratio.</w:t>
      </w:r>
    </w:p>
    <w:p>
      <w:pPr>
        <w:spacing w:after="0" w:line="17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Indebtedness</w:t>
      </w:r>
      <w:r>
        <w:rPr>
          <w:rFonts w:ascii="Arial" w:cs="Arial" w:eastAsia="Arial" w:hAnsi="Arial"/>
          <w:sz w:val="17"/>
          <w:szCs w:val="17"/>
          <w:color w:val="auto"/>
        </w:rPr>
        <w:t>” means, as at any date of determination, an amount equal to the sum of (1) the aggregate amount of all outstanding Indebtedness of the Company and its Restricted Subsidiaries on a consolidated basis consisting of Indebtedness for borrowed money, Obligations in respect of Capitalized Lease Obligations and debt obligations evidenced by promissory notes and similar instruments (and excluding, for the avoidance of doubt, all obligations relating to Qualified Securitization Facilities) and (2) the aggregate amount of all outstanding Disqualified Stock of the Company and all Preferred Stock of its Restricted Subsidiaries on a consolidated basis, with the amount of such Disqualified Stock and Preferred Stock equal to the greater of their respective voluntary or involuntary liquidation preferences and maximum fixed repurchase prices, in each case determined on a consolidated basis in accordance with GAAP.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Indenture, and if such price is based upon, or measured by, the fair market value of such Disqualified Stock or Preferred Stock, such fair market value shall be determined reasonably and in good faith by the Company.</w:t>
      </w:r>
    </w:p>
    <w:p>
      <w:pPr>
        <w:spacing w:after="0" w:line="183" w:lineRule="exact"/>
        <w:rPr>
          <w:sz w:val="20"/>
          <w:szCs w:val="20"/>
          <w:color w:val="auto"/>
        </w:rPr>
      </w:pPr>
    </w:p>
    <w:p>
      <w:pPr>
        <w:ind w:right="6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means, with respect to any Person, any obligation of such Person guaranteeing any leases, dividends or other obligations that do not constitute Indebtedness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including, without limitation, any obligation of such Person, whether or not contingent,</w:t>
      </w:r>
    </w:p>
    <w:p>
      <w:pPr>
        <w:spacing w:after="0" w:line="73" w:lineRule="exact"/>
        <w:rPr>
          <w:sz w:val="20"/>
          <w:szCs w:val="20"/>
          <w:color w:val="auto"/>
        </w:rPr>
      </w:pPr>
    </w:p>
    <w:p>
      <w:pPr>
        <w:ind w:left="5620" w:right="2780" w:hanging="4717"/>
        <w:spacing w:after="0" w:line="449" w:lineRule="auto"/>
        <w:tabs>
          <w:tab w:leader="none" w:pos="115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 10</w:t>
      </w:r>
    </w:p>
    <w:p>
      <w:pPr>
        <w:sectPr>
          <w:pgSz w:w="11900" w:h="16838" w:orient="portrait"/>
          <w:cols w:equalWidth="0" w:num="1">
            <w:col w:w="11400"/>
          </w:cols>
          <w:pgMar w:left="240" w:top="274" w:right="259" w:bottom="1440" w:gutter="0" w:footer="0" w:header="0"/>
        </w:sectPr>
      </w:pPr>
    </w:p>
    <w:bookmarkStart w:id="213" w:name="page214"/>
    <w:bookmarkEnd w:id="213"/>
    <w:p>
      <w:pPr>
        <w:ind w:left="1160" w:hanging="257"/>
        <w:spacing w:after="0"/>
        <w:tabs>
          <w:tab w:leader="none" w:pos="11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advance or supply funds</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for the purchase or payment of any such primary obligation, or</w:t>
      </w:r>
    </w:p>
    <w:p>
      <w:pPr>
        <w:spacing w:after="0" w:line="117" w:lineRule="exact"/>
        <w:rPr>
          <w:rFonts w:ascii="Arial" w:cs="Arial" w:eastAsia="Arial" w:hAnsi="Arial"/>
          <w:sz w:val="18"/>
          <w:szCs w:val="18"/>
          <w:color w:val="auto"/>
        </w:rPr>
      </w:pPr>
    </w:p>
    <w:p>
      <w:pPr>
        <w:ind w:left="920" w:right="200" w:firstLine="421"/>
        <w:spacing w:after="0" w:line="277" w:lineRule="auto"/>
        <w:tabs>
          <w:tab w:leader="none" w:pos="1595"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to maintain working capital or equity capital of the primary obligor or otherwise to maintain the net worth or solvency of the primary obligor, or</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 of the Trustee</w:t>
      </w:r>
      <w:r>
        <w:rPr>
          <w:rFonts w:ascii="Arial" w:cs="Arial" w:eastAsia="Arial" w:hAnsi="Arial"/>
          <w:sz w:val="18"/>
          <w:szCs w:val="18"/>
          <w:color w:val="auto"/>
        </w:rPr>
        <w:t>” shall be at the address of the Trustee specified in Section 13.01 hereof or such other address as to which the Trustee may give notice to the Holders and the Issuer.</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Facilities</w:t>
      </w:r>
      <w:r>
        <w:rPr>
          <w:rFonts w:ascii="Arial" w:cs="Arial" w:eastAsia="Arial" w:hAnsi="Arial"/>
          <w:sz w:val="17"/>
          <w:szCs w:val="17"/>
          <w:color w:val="auto"/>
        </w:rPr>
        <w:t>” means, with respect to the Company or any of its Restricted Subsidiaries, one or more debt facilities, including the Senior Credit Facilities, or other financing arrangements (including, without limitation, commercial paper facilities or indentures) providing for revolving credit loans, term loans, letters of credit or other long-term indebtedness, including any notes, mortgages, guarantees, collateral documents, instruments and agreements executed in connection therewith, and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increase in borrowings is permitted under Section 4.09 hereof) or adds Restricted Subsidiaries as additional borrowers or guarantors thereunder and whether by the same or any other agent, lender or group of lenders.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 Obligations</w:t>
      </w:r>
      <w:r>
        <w:rPr>
          <w:rFonts w:ascii="Arial" w:cs="Arial" w:eastAsia="Arial" w:hAnsi="Arial"/>
          <w:sz w:val="18"/>
          <w:szCs w:val="18"/>
          <w:color w:val="auto"/>
        </w:rPr>
        <w:t>” means, with respect to any Person, the Obligations of such Person under any Credit Facilities.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Trustee, as custodian with respect to the Notes, each in global form, or any successor entity thereto.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w:t>
      </w:r>
      <w:r>
        <w:rPr>
          <w:rFonts w:ascii="Arial" w:cs="Arial" w:eastAsia="Arial" w:hAnsi="Arial"/>
          <w:sz w:val="18"/>
          <w:szCs w:val="18"/>
          <w:color w:val="auto"/>
        </w:rPr>
        <w:t xml:space="preserve">” means a certificated Note registered in the name of the Holder thereof and issued in accordance with Section 2.06(c) hereof,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shall not bear the Global Note Legend and shall not have the “Schedule of Exchanges of Interests in the Global Note” attached thereto.</w:t>
      </w:r>
    </w:p>
    <w:p>
      <w:pPr>
        <w:spacing w:after="0" w:line="18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Notes issuable or issued in whole or in part in global form, any Person specified in Section 2.03 hereof as the Depositary with respect to the Notes, and any and all successors thereto appointed as Depositary hereunder and having become such pursuant to the applicable provision of this Indenture.</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means the fair market value of non-cash consideration received by the Company or a Restricted Subsidiary in connection with an Asset Sale that is so designated as Designated Non-cash Consideration pursuant to an Officer’s Certificate, setting forth the basis of such valuation, executed by the principal financial officer of the Company, less the amount of cash or Cash Equivalents received in connection with a subsequent sale of or collection on such Designated Non-cash Consideration.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14" w:name="page215"/>
    <w:bookmarkEnd w:id="214"/>
    <w:p>
      <w:pPr>
        <w:ind w:right="32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Designated Preferred Stock</w:t>
      </w:r>
      <w:r>
        <w:rPr>
          <w:rFonts w:ascii="Arial" w:cs="Arial" w:eastAsia="Arial" w:hAnsi="Arial"/>
          <w:sz w:val="18"/>
          <w:szCs w:val="18"/>
          <w:color w:val="auto"/>
        </w:rPr>
        <w:t>” means Preferred Stock of the Company or any parent corporation thereof (in each case other than Disqualified Stock) that is issued for cash (other than to a Restricted Subsidiary or an employee stock ownership plan or trust established by the Company or any of its Subsidiaries) and is so designated as Designated Preferred Stock, pursuant to an Officer’s Certificate executed by the principal financial officer of the Company or the applicable parent corporation thereof, as the case may be, on the issuance date thereof, the cash proceeds of which are excluded from the calculation set forth in clause (3) of Section 4.07(a) hereof.</w:t>
      </w:r>
    </w:p>
    <w:p>
      <w:pPr>
        <w:spacing w:after="0" w:line="188"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Directing Agent</w:t>
      </w:r>
      <w:r>
        <w:rPr>
          <w:rFonts w:ascii="Arial" w:cs="Arial" w:eastAsia="Arial" w:hAnsi="Arial"/>
          <w:sz w:val="16"/>
          <w:szCs w:val="16"/>
          <w:color w:val="auto"/>
        </w:rPr>
        <w:t>” means Citibank, N.A. prior to the Merger Date, or Morgan Stanley Senior Funding, Inc., as of and after the Merger Date, as the agent for the Collateral Agent under the Senior Credit Facilities Documents, the Collateral Agent under the Collateral Documents relating to the Existing Secured Notes, the Collateral Agent and each additional Authorized Representative (as defined in the Intercreditor Agreement) from time to time party to the Intercreditor Agreement, and any successor thereof or replacement agent appointed in accordance with the terms of the Intercreditor Agreement.</w:t>
      </w:r>
    </w:p>
    <w:p>
      <w:pPr>
        <w:spacing w:after="0" w:line="154"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Stock</w:t>
      </w:r>
      <w:r>
        <w:rPr>
          <w:rFonts w:ascii="Arial" w:cs="Arial" w:eastAsia="Arial" w:hAnsi="Arial"/>
          <w:sz w:val="16"/>
          <w:szCs w:val="16"/>
          <w:color w:val="auto"/>
        </w:rPr>
        <w:t xml:space="preserve">”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Notes or the date the Notes are no longer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Capital Stock is issued to any plan for the benefit of employees of the Company or its Subsidiaries or by any such plan to such employees, such Capital Stock shall not constitute Disqualified Stock solely because it may be required to be repurchased by the Company or its Subsidiaries in order to satisfy applicable statutory or regulatory obligations.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that is organized under the laws of the United States, any state thereof or the District of Columbia.</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with respect to any Person for any period, the Consolidated Net Income of such Person for such period</w:t>
      </w:r>
    </w:p>
    <w:p>
      <w:pPr>
        <w:spacing w:after="0" w:line="117" w:lineRule="exact"/>
        <w:rPr>
          <w:sz w:val="20"/>
          <w:szCs w:val="20"/>
          <w:color w:val="auto"/>
        </w:rPr>
      </w:pPr>
    </w:p>
    <w:p>
      <w:pPr>
        <w:ind w:left="1160" w:hanging="257"/>
        <w:spacing w:after="0"/>
        <w:tabs>
          <w:tab w:leader="none" w:pos="116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increased (without duplication) by the following, in each case to the extent deducted in determining Consolidated Net Income for such period:</w:t>
      </w:r>
    </w:p>
    <w:p>
      <w:pPr>
        <w:spacing w:after="0" w:line="140" w:lineRule="exact"/>
        <w:rPr>
          <w:rFonts w:ascii="Arial" w:cs="Arial" w:eastAsia="Arial" w:hAnsi="Arial"/>
          <w:sz w:val="16"/>
          <w:szCs w:val="16"/>
          <w:color w:val="auto"/>
        </w:rPr>
      </w:pPr>
    </w:p>
    <w:p>
      <w:pPr>
        <w:ind w:left="920" w:right="180" w:firstLine="421"/>
        <w:spacing w:after="0" w:line="264" w:lineRule="auto"/>
        <w:tabs>
          <w:tab w:leader="none" w:pos="1585"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capital, including, without limitation, state, franchise and similar taxes (such as the Pennsylvania capital tax and Texas margin tax) and foreign withholding taxes of such Person paid or accrued during such period deducted (and not added back) in computing Consolidated Net Income; </w:t>
      </w:r>
      <w:r>
        <w:rPr>
          <w:rFonts w:ascii="Arial" w:cs="Arial" w:eastAsia="Arial" w:hAnsi="Arial"/>
          <w:sz w:val="18"/>
          <w:szCs w:val="18"/>
          <w:u w:val="single" w:color="auto"/>
          <w:color w:val="auto"/>
        </w:rPr>
        <w:t>plus</w:t>
      </w:r>
    </w:p>
    <w:p>
      <w:pPr>
        <w:spacing w:after="0" w:line="73" w:lineRule="exact"/>
        <w:rPr>
          <w:rFonts w:ascii="Arial" w:cs="Arial" w:eastAsia="Arial" w:hAnsi="Arial"/>
          <w:sz w:val="18"/>
          <w:szCs w:val="18"/>
          <w:color w:val="auto"/>
        </w:rPr>
      </w:pPr>
    </w:p>
    <w:p>
      <w:pPr>
        <w:ind w:left="920" w:right="60" w:firstLine="421"/>
        <w:spacing w:after="0" w:line="259" w:lineRule="auto"/>
        <w:tabs>
          <w:tab w:leader="none" w:pos="1595"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Fixed Charges of such Person for such period (including (x) net losses or Hedging Obligations or other derivative instruments entered into for the purpose of hedging interest rate risk, (y) bank fees and (z) costs of surety bonds in connection with financing activities, plus amounts excluded from Consolidated Interest Expense as set forth in clauses (1)(t) through (z) in the definition thereof) to the extent the same were deducted (and not added back) in calculating such Consolidated Net Income;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ind w:left="920" w:right="340" w:firstLine="421"/>
        <w:spacing w:after="0" w:line="277" w:lineRule="auto"/>
        <w:tabs>
          <w:tab w:leader="none" w:pos="1585"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to the extent the same were deducted (and not added back) in computing Consolidated Net Income; </w:t>
      </w:r>
      <w:r>
        <w:rPr>
          <w:rFonts w:ascii="Arial" w:cs="Arial" w:eastAsia="Arial" w:hAnsi="Arial"/>
          <w:sz w:val="18"/>
          <w:szCs w:val="18"/>
          <w:u w:val="single" w:color="auto"/>
          <w:color w:val="auto"/>
        </w:rPr>
        <w:t>plus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15" w:name="page216"/>
    <w:bookmarkEnd w:id="215"/>
    <w:p>
      <w:pPr>
        <w:ind w:left="-1" w:right="80" w:firstLine="421"/>
        <w:spacing w:after="0" w:line="297" w:lineRule="auto"/>
        <w:tabs>
          <w:tab w:leader="none" w:pos="674" w:val="left"/>
        </w:tabs>
        <w:numPr>
          <w:ilvl w:val="1"/>
          <w:numId w:val="3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expenses or charges (other than depreciation or amortization expense) related to any Equity Offering, Permitted Investment, acquisition, disposition, recapitalization or the incurrence of Indebtedness permitted to be incurred by this Indenture (including a refinancing thereof) (whether or not successful), including (i) such fees, expenses or charges related to the offering of the Notes, the Existing Secured Notes, the NXP Notes and the Credit Facilities and (ii) any amendment or other modification of the Notes, the Existing Secured Notes, the NXP Notes and the Credit Facilities and, in each case, deducted (and not added back) in computing Consolidated Net Income; </w:t>
      </w:r>
      <w:r>
        <w:rPr>
          <w:rFonts w:ascii="Arial" w:cs="Arial" w:eastAsia="Arial" w:hAnsi="Arial"/>
          <w:sz w:val="16"/>
          <w:szCs w:val="16"/>
          <w:u w:val="single" w:color="auto"/>
          <w:color w:val="auto"/>
        </w:rPr>
        <w:t>plus</w:t>
      </w:r>
    </w:p>
    <w:p>
      <w:pPr>
        <w:spacing w:after="0" w:line="50" w:lineRule="exact"/>
        <w:rPr>
          <w:rFonts w:ascii="Arial" w:cs="Arial" w:eastAsia="Arial" w:hAnsi="Arial"/>
          <w:sz w:val="16"/>
          <w:szCs w:val="16"/>
          <w:color w:val="auto"/>
        </w:rPr>
      </w:pPr>
    </w:p>
    <w:p>
      <w:pPr>
        <w:ind w:left="-1" w:right="80" w:firstLine="421"/>
        <w:spacing w:after="0" w:line="279" w:lineRule="auto"/>
        <w:tabs>
          <w:tab w:leader="none" w:pos="664" w:val="left"/>
        </w:tabs>
        <w:numPr>
          <w:ilvl w:val="1"/>
          <w:numId w:val="331"/>
        </w:numPr>
        <w:rPr>
          <w:rFonts w:ascii="Arial" w:cs="Arial" w:eastAsia="Arial" w:hAnsi="Arial"/>
          <w:sz w:val="17"/>
          <w:szCs w:val="17"/>
          <w:color w:val="auto"/>
        </w:rPr>
      </w:pPr>
      <w:r>
        <w:rPr>
          <w:rFonts w:ascii="Arial" w:cs="Arial" w:eastAsia="Arial" w:hAnsi="Arial"/>
          <w:sz w:val="17"/>
          <w:szCs w:val="17"/>
          <w:color w:val="auto"/>
        </w:rPr>
        <w:t xml:space="preserve">the amount of any restructuring charges, integration costs or other business optimization expenses (including cost and expenses relating to inventory optimization programs, wafer fabrication facility closures and new systems design and implementation costs) or reserves deducted (and not added back) in such period in computing Consolidated Net Income, including any one-time costs incurred in connection with acquisitions after the Measurement Date, and costs related to the closure and/or consolidation of facilities; </w:t>
      </w:r>
      <w:r>
        <w:rPr>
          <w:rFonts w:ascii="Arial" w:cs="Arial" w:eastAsia="Arial" w:hAnsi="Arial"/>
          <w:sz w:val="17"/>
          <w:szCs w:val="17"/>
          <w:u w:val="single" w:color="auto"/>
          <w:color w:val="auto"/>
        </w:rPr>
        <w:t>plus</w:t>
      </w:r>
    </w:p>
    <w:p>
      <w:pPr>
        <w:spacing w:after="0" w:line="63" w:lineRule="exact"/>
        <w:rPr>
          <w:rFonts w:ascii="Arial" w:cs="Arial" w:eastAsia="Arial" w:hAnsi="Arial"/>
          <w:sz w:val="17"/>
          <w:szCs w:val="17"/>
          <w:color w:val="auto"/>
        </w:rPr>
      </w:pPr>
    </w:p>
    <w:p>
      <w:pPr>
        <w:ind w:left="-1" w:right="40" w:firstLine="421"/>
        <w:spacing w:after="0" w:line="259" w:lineRule="auto"/>
        <w:tabs>
          <w:tab w:leader="none" w:pos="64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any other non-cash charges, including any write offs or write downs reducing Consolidated Net Income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non-cash charges represent an accrual or reserve for potential cash items in any future period, the cash payment in respect thereof in such future period shall be subtracted from EBITDA to such extent, and excluding amortization of a prepaid cash item that was paid in a prior period);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ind w:left="-1" w:right="160" w:firstLine="421"/>
        <w:spacing w:after="0" w:line="308" w:lineRule="auto"/>
        <w:tabs>
          <w:tab w:leader="none" w:pos="674" w:val="left"/>
        </w:tabs>
        <w:numPr>
          <w:ilvl w:val="1"/>
          <w:numId w:val="331"/>
        </w:numPr>
        <w:rPr>
          <w:rFonts w:ascii="Arial" w:cs="Arial" w:eastAsia="Arial" w:hAnsi="Arial"/>
          <w:sz w:val="17"/>
          <w:szCs w:val="17"/>
          <w:color w:val="auto"/>
        </w:rPr>
      </w:pPr>
      <w:r>
        <w:rPr>
          <w:rFonts w:ascii="Arial" w:cs="Arial" w:eastAsia="Arial" w:hAnsi="Arial"/>
          <w:sz w:val="17"/>
          <w:szCs w:val="17"/>
          <w:color w:val="auto"/>
        </w:rPr>
        <w:t xml:space="preserve">the amount of any minority interest expense consisting of Subsidiary income attributable to minority equity interests of third parties in any non-Wholly Owned Subsidiary deducted (and not added back) in such period in calculating Consolidated Net Income; </w:t>
      </w:r>
      <w:r>
        <w:rPr>
          <w:rFonts w:ascii="Arial" w:cs="Arial" w:eastAsia="Arial" w:hAnsi="Arial"/>
          <w:sz w:val="17"/>
          <w:szCs w:val="17"/>
          <w:u w:val="single" w:color="auto"/>
          <w:color w:val="auto"/>
        </w:rPr>
        <w:t>plus</w:t>
      </w:r>
    </w:p>
    <w:p>
      <w:pPr>
        <w:spacing w:after="0" w:line="38" w:lineRule="exact"/>
        <w:rPr>
          <w:rFonts w:ascii="Arial" w:cs="Arial" w:eastAsia="Arial" w:hAnsi="Arial"/>
          <w:sz w:val="17"/>
          <w:szCs w:val="17"/>
          <w:color w:val="auto"/>
        </w:rPr>
      </w:pPr>
    </w:p>
    <w:p>
      <w:pPr>
        <w:ind w:left="679" w:hanging="259"/>
        <w:spacing w:after="0"/>
        <w:tabs>
          <w:tab w:leader="none" w:pos="679"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[intentionally omitted];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1" w:firstLine="421"/>
        <w:spacing w:after="0" w:line="293" w:lineRule="auto"/>
        <w:tabs>
          <w:tab w:leader="none" w:pos="634" w:val="left"/>
        </w:tabs>
        <w:numPr>
          <w:ilvl w:val="1"/>
          <w:numId w:val="331"/>
        </w:numPr>
        <w:rPr>
          <w:rFonts w:ascii="Arial" w:cs="Arial" w:eastAsia="Arial" w:hAnsi="Arial"/>
          <w:sz w:val="16"/>
          <w:szCs w:val="16"/>
          <w:color w:val="auto"/>
        </w:rPr>
      </w:pPr>
      <w:r>
        <w:rPr>
          <w:rFonts w:ascii="Arial" w:cs="Arial" w:eastAsia="Arial" w:hAnsi="Arial"/>
          <w:sz w:val="16"/>
          <w:szCs w:val="16"/>
          <w:color w:val="auto"/>
        </w:rPr>
        <w:t xml:space="preserve">the amount of net cost savings projected by the Company in good faith to be realized as a result of specified actions taken or initiated during or prior to such period (calculated on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basis as though such cost savings had been realized on the first day of such period),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such cost savings are reasonably identifiable and factually supportable, (y) such actions are taken no later than 36 months after the Measurement Date and (z) the aggregate amount of cost savings added pursuant to this clause (i) shall not exceed $200 million for any four consecutive quarter period (which adjustments may be incremental to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cost savings adjustments made pursuant to the definition of “Fixed Charge Coverage Ratio”); </w:t>
      </w:r>
      <w:r>
        <w:rPr>
          <w:rFonts w:ascii="Arial" w:cs="Arial" w:eastAsia="Arial" w:hAnsi="Arial"/>
          <w:sz w:val="16"/>
          <w:szCs w:val="16"/>
          <w:u w:val="single" w:color="auto"/>
          <w:color w:val="auto"/>
        </w:rPr>
        <w:t>plus</w:t>
      </w:r>
    </w:p>
    <w:p>
      <w:pPr>
        <w:spacing w:after="0" w:line="56" w:lineRule="exact"/>
        <w:rPr>
          <w:rFonts w:ascii="Arial" w:cs="Arial" w:eastAsia="Arial" w:hAnsi="Arial"/>
          <w:sz w:val="16"/>
          <w:szCs w:val="16"/>
          <w:color w:val="auto"/>
        </w:rPr>
      </w:pPr>
    </w:p>
    <w:p>
      <w:pPr>
        <w:ind w:left="-1" w:right="220" w:firstLine="421"/>
        <w:spacing w:after="0" w:line="277" w:lineRule="auto"/>
        <w:tabs>
          <w:tab w:leader="none" w:pos="63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the amount of loss on sale of receivables, Securitization Assets and related assets to the Securitization Subsidiary in connection with a Qualified Securitization Facility;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jc w:val="both"/>
        <w:ind w:left="-1" w:right="40" w:firstLine="421"/>
        <w:spacing w:after="0" w:line="286" w:lineRule="auto"/>
        <w:tabs>
          <w:tab w:leader="none" w:pos="674" w:val="left"/>
        </w:tabs>
        <w:numPr>
          <w:ilvl w:val="1"/>
          <w:numId w:val="331"/>
        </w:numPr>
        <w:rPr>
          <w:rFonts w:ascii="Arial" w:cs="Arial" w:eastAsia="Arial" w:hAnsi="Arial"/>
          <w:sz w:val="16"/>
          <w:szCs w:val="16"/>
          <w:color w:val="auto"/>
        </w:rPr>
      </w:pPr>
      <w:r>
        <w:rPr>
          <w:rFonts w:ascii="Arial" w:cs="Arial" w:eastAsia="Arial" w:hAnsi="Arial"/>
          <w:sz w:val="16"/>
          <w:szCs w:val="16"/>
          <w:color w:val="auto"/>
        </w:rPr>
        <w:t>any costs or expense incurred by the Company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the Company or net cash proceeds of an issuance of Equity Interest of the Company (other than Disqualified Stock) solely to the extent that such net cash proceeds are excluded from the calculation set forth in clause</w:t>
      </w:r>
    </w:p>
    <w:p>
      <w:pPr>
        <w:spacing w:after="0" w:line="1" w:lineRule="exact"/>
        <w:rPr>
          <w:rFonts w:ascii="Arial" w:cs="Arial" w:eastAsia="Arial" w:hAnsi="Arial"/>
          <w:sz w:val="16"/>
          <w:szCs w:val="16"/>
          <w:color w:val="auto"/>
        </w:rPr>
      </w:pPr>
    </w:p>
    <w:p>
      <w:pPr>
        <w:ind w:left="259" w:hanging="259"/>
        <w:spacing w:after="0"/>
        <w:tabs>
          <w:tab w:leader="none" w:pos="25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of Section 4.07(a) hereof; </w:t>
      </w:r>
      <w:r>
        <w:rPr>
          <w:rFonts w:ascii="Arial" w:cs="Arial" w:eastAsia="Arial" w:hAnsi="Arial"/>
          <w:sz w:val="18"/>
          <w:szCs w:val="18"/>
          <w:u w:val="single" w:color="auto"/>
          <w:color w:val="auto"/>
        </w:rPr>
        <w:t>plus</w:t>
      </w:r>
    </w:p>
    <w:p>
      <w:pPr>
        <w:spacing w:after="0" w:line="143"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99"/>
          </w:cols>
          <w:pgMar w:left="1161" w:top="274" w:right="239" w:bottom="1440" w:gutter="0" w:footer="0" w:header="0"/>
        </w:sectPr>
      </w:pPr>
    </w:p>
    <w:bookmarkStart w:id="216" w:name="page217"/>
    <w:bookmarkEnd w:id="216"/>
    <w:p>
      <w:pPr>
        <w:ind w:left="920" w:right="300" w:firstLine="421"/>
        <w:spacing w:after="0" w:line="264" w:lineRule="auto"/>
        <w:tabs>
          <w:tab w:leader="none" w:pos="1555" w:val="left"/>
        </w:tabs>
        <w:numPr>
          <w:ilvl w:val="1"/>
          <w:numId w:val="3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receipts (or any netting arrangements resulting in reduced cash expenditures) not representing EBITDA or Net Income in any period to the extent non-cash gains relating to such income were deducted in the calculation of EBITDA pursuant to clause (2) below for any previous period and not added back; plus</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xml:space="preserve">any net loss from disposed or discontinued operations;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xml:space="preserve">interest income or investment earnings on retiree medical and intellectual property, royalty or license receivables;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920" w:right="740" w:firstLine="421"/>
        <w:spacing w:after="0" w:line="277" w:lineRule="auto"/>
        <w:tabs>
          <w:tab w:leader="none" w:pos="1595" w:val="left"/>
        </w:tabs>
        <w:numPr>
          <w:ilvl w:val="1"/>
          <w:numId w:val="333"/>
        </w:numPr>
        <w:rPr>
          <w:rFonts w:ascii="Arial" w:cs="Arial" w:eastAsia="Arial" w:hAnsi="Arial"/>
          <w:sz w:val="18"/>
          <w:szCs w:val="18"/>
          <w:color w:val="auto"/>
        </w:rPr>
      </w:pPr>
      <w:r>
        <w:rPr>
          <w:rFonts w:ascii="Arial" w:cs="Arial" w:eastAsia="Arial" w:hAnsi="Arial"/>
          <w:sz w:val="18"/>
          <w:szCs w:val="18"/>
          <w:color w:val="auto"/>
        </w:rPr>
        <w:t>300 Millimeter R&amp;D Expenses to the extent that the amount of such 300 Millimeter R&amp;D Expenses could have been made as investments under clause (18) of the definition of “Permitted Investments”;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decreased by (without duplication) by the following, in each case to the extent included in determining Consolidated Net Income for such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02" w:lineRule="exact"/>
        <w:rPr>
          <w:rFonts w:ascii="Arial" w:cs="Arial" w:eastAsia="Arial" w:hAnsi="Arial"/>
          <w:sz w:val="16"/>
          <w:szCs w:val="16"/>
          <w:color w:val="auto"/>
        </w:rPr>
      </w:pPr>
    </w:p>
    <w:p>
      <w:pPr>
        <w:jc w:val="both"/>
        <w:ind w:left="920" w:right="280" w:firstLine="421"/>
        <w:spacing w:after="0" w:line="312" w:lineRule="auto"/>
        <w:tabs>
          <w:tab w:leader="none" w:pos="1585" w:val="left"/>
        </w:tabs>
        <w:numPr>
          <w:ilvl w:val="1"/>
          <w:numId w:val="334"/>
        </w:numPr>
        <w:rPr>
          <w:rFonts w:ascii="Arial" w:cs="Arial" w:eastAsia="Arial" w:hAnsi="Arial"/>
          <w:sz w:val="16"/>
          <w:szCs w:val="16"/>
          <w:color w:val="auto"/>
        </w:rPr>
      </w:pPr>
      <w:r>
        <w:rPr>
          <w:rFonts w:ascii="Arial" w:cs="Arial" w:eastAsia="Arial" w:hAnsi="Arial"/>
          <w:sz w:val="16"/>
          <w:szCs w:val="16"/>
          <w:color w:val="auto"/>
        </w:rPr>
        <w:t xml:space="preserve">non-cash gains increasing Consolidated Net Income of such Person for such period, excluding any non-cash gains to the extent they represent the reversal of an accrual or reserve for a potential cash item that reduced EBITDA in any prior period and any non-cash gains with respect to cash actually received in a prior period so long as such cash did not increase EBITDA in such prior period; </w:t>
      </w:r>
      <w:r>
        <w:rPr>
          <w:rFonts w:ascii="Arial" w:cs="Arial" w:eastAsia="Arial" w:hAnsi="Arial"/>
          <w:sz w:val="16"/>
          <w:szCs w:val="16"/>
          <w:u w:val="single" w:color="auto"/>
          <w:color w:val="auto"/>
        </w:rPr>
        <w:t>plus</w:t>
      </w:r>
    </w:p>
    <w:p>
      <w:pPr>
        <w:spacing w:after="0" w:line="38" w:lineRule="exact"/>
        <w:rPr>
          <w:rFonts w:ascii="Arial" w:cs="Arial" w:eastAsia="Arial" w:hAnsi="Arial"/>
          <w:sz w:val="16"/>
          <w:szCs w:val="16"/>
          <w:color w:val="auto"/>
        </w:rPr>
      </w:pPr>
    </w:p>
    <w:p>
      <w:pPr>
        <w:ind w:left="1600" w:hanging="259"/>
        <w:spacing w:after="0"/>
        <w:tabs>
          <w:tab w:leader="none" w:pos="16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net income from disposed or discontinued operations; and</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increased or decreased by (without duplication), as applicable, any adjustments resulting from the application of FASB Interpretation No. 45 (Guarantees).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means economic and monetary union as contemplated in the Treaty on European Union.</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Equalization Payment</w:t>
      </w:r>
      <w:r>
        <w:rPr>
          <w:rFonts w:ascii="Arial" w:cs="Arial" w:eastAsia="Arial" w:hAnsi="Arial"/>
          <w:sz w:val="18"/>
          <w:szCs w:val="18"/>
          <w:color w:val="auto"/>
        </w:rPr>
        <w:t>” means, with respect to any period for any 300 Millimeter Arrangement, the payment made by Holdings III or any of its Restricted Subsidiaries in respect of its applicable share, determined pursuant to the terms of such 300 Millimeter Arrangement, of the depreciation and amortization expenses or charges in respect of capital expenditures made with respect to such 300 Millimeter Arrangement for such period that are recorded as research and development expenses of, but do not otherwise constitute Consolidated Depreciation and Amortization Expense of, Holdings III and its Restricted Subsidiaries on a consolidated basis for such period.</w:t>
      </w:r>
    </w:p>
    <w:p>
      <w:pPr>
        <w:spacing w:after="0" w:line="188"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Offering</w:t>
      </w:r>
      <w:r>
        <w:rPr>
          <w:rFonts w:ascii="Arial" w:cs="Arial" w:eastAsia="Arial" w:hAnsi="Arial"/>
          <w:sz w:val="18"/>
          <w:szCs w:val="18"/>
          <w:color w:val="auto"/>
        </w:rPr>
        <w:t>” means any public or private sale of common stock or Preferred Stock of the Company or any of its direct or indirect parent companies (excluding Disqualified Stock), other than:</w:t>
      </w:r>
    </w:p>
    <w:p>
      <w:pPr>
        <w:spacing w:after="0" w:line="62" w:lineRule="exact"/>
        <w:rPr>
          <w:sz w:val="20"/>
          <w:szCs w:val="20"/>
          <w:color w:val="auto"/>
        </w:rPr>
      </w:pPr>
    </w:p>
    <w:p>
      <w:pPr>
        <w:ind w:left="1160" w:hanging="257"/>
        <w:spacing w:after="0"/>
        <w:tabs>
          <w:tab w:leader="none" w:pos="11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public offerings with respect to the Company’s or any direct or indirect parent company’s common stock registered on Form S-4 or Form S-8;</w:t>
      </w:r>
    </w:p>
    <w:p>
      <w:pPr>
        <w:spacing w:after="0" w:line="140" w:lineRule="exact"/>
        <w:rPr>
          <w:rFonts w:ascii="Arial" w:cs="Arial" w:eastAsia="Arial" w:hAnsi="Arial"/>
          <w:sz w:val="16"/>
          <w:szCs w:val="16"/>
          <w:color w:val="auto"/>
        </w:rPr>
      </w:pPr>
    </w:p>
    <w:p>
      <w:pPr>
        <w:ind w:left="1180" w:hanging="259"/>
        <w:spacing w:after="0"/>
        <w:tabs>
          <w:tab w:leader="none" w:pos="11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issuances to any Subsidiary of the Company;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17" w:name="page218"/>
    <w:bookmarkEnd w:id="217"/>
    <w:p>
      <w:pPr>
        <w:ind w:left="920" w:right="4920" w:hanging="17"/>
        <w:spacing w:after="0" w:line="563" w:lineRule="auto"/>
        <w:tabs>
          <w:tab w:leader="none" w:pos="1156" w:val="left"/>
        </w:tabs>
        <w:numPr>
          <w:ilvl w:val="0"/>
          <w:numId w:val="3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public or private sale that constitutes an Excluded Contribution. “</w:t>
      </w:r>
      <w:r>
        <w:rPr>
          <w:rFonts w:ascii="Arial" w:cs="Arial" w:eastAsia="Arial" w:hAnsi="Arial"/>
          <w:sz w:val="16"/>
          <w:szCs w:val="16"/>
          <w:u w:val="single" w:color="auto"/>
          <w:color w:val="auto"/>
        </w:rPr>
        <w:t>euro</w:t>
      </w:r>
      <w:r>
        <w:rPr>
          <w:rFonts w:ascii="Arial" w:cs="Arial" w:eastAsia="Arial" w:hAnsi="Arial"/>
          <w:sz w:val="16"/>
          <w:szCs w:val="16"/>
          <w:color w:val="auto"/>
        </w:rPr>
        <w:t>” means the single currency of participating member states of the EMU. “</w:t>
      </w:r>
      <w:r>
        <w:rPr>
          <w:rFonts w:ascii="Arial" w:cs="Arial" w:eastAsia="Arial" w:hAnsi="Arial"/>
          <w:sz w:val="16"/>
          <w:szCs w:val="16"/>
          <w:u w:val="single" w:color="auto"/>
          <w:color w:val="auto"/>
        </w:rPr>
        <w:t>Euroclear</w:t>
      </w:r>
      <w:r>
        <w:rPr>
          <w:rFonts w:ascii="Arial" w:cs="Arial" w:eastAsia="Arial" w:hAnsi="Arial"/>
          <w:sz w:val="16"/>
          <w:szCs w:val="16"/>
          <w:color w:val="auto"/>
        </w:rPr>
        <w:t>” means Euroclear S.A./N.V., as operator of the Euroclear system.</w:t>
      </w:r>
    </w:p>
    <w:p>
      <w:pPr>
        <w:spacing w:after="0" w:line="1" w:lineRule="exact"/>
        <w:rPr>
          <w:rFonts w:ascii="Arial" w:cs="Arial" w:eastAsia="Arial" w:hAnsi="Arial"/>
          <w:sz w:val="16"/>
          <w:szCs w:val="16"/>
          <w:color w:val="auto"/>
        </w:rPr>
      </w:pPr>
    </w:p>
    <w:p>
      <w:pPr>
        <w:ind w:left="920" w:right="400"/>
        <w:spacing w:after="0" w:line="501"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of the SEC promulgated thereunder. “</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certain items of property, as provided in the Collateral Documents.</w:t>
      </w: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Contribution</w:t>
      </w:r>
      <w:r>
        <w:rPr>
          <w:rFonts w:ascii="Arial" w:cs="Arial" w:eastAsia="Arial" w:hAnsi="Arial"/>
          <w:sz w:val="18"/>
          <w:szCs w:val="18"/>
          <w:color w:val="auto"/>
        </w:rPr>
        <w:t>” means net cash proceeds, marketable securities or Qualified Proceeds received by the Company from:</w:t>
      </w:r>
    </w:p>
    <w:p>
      <w:pPr>
        <w:spacing w:after="0" w:line="117" w:lineRule="exact"/>
        <w:rPr>
          <w:sz w:val="20"/>
          <w:szCs w:val="20"/>
          <w:color w:val="auto"/>
        </w:rPr>
      </w:pPr>
    </w:p>
    <w:p>
      <w:pPr>
        <w:ind w:left="1160" w:hanging="257"/>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117" w:lineRule="exact"/>
        <w:rPr>
          <w:rFonts w:ascii="Arial" w:cs="Arial" w:eastAsia="Arial" w:hAnsi="Arial"/>
          <w:sz w:val="18"/>
          <w:szCs w:val="18"/>
          <w:color w:val="auto"/>
        </w:rPr>
      </w:pPr>
    </w:p>
    <w:p>
      <w:pPr>
        <w:ind w:left="460" w:right="40" w:firstLine="443"/>
        <w:spacing w:after="0" w:line="342" w:lineRule="auto"/>
        <w:tabs>
          <w:tab w:leader="none" w:pos="1153"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sale (other than to a Subsidiary of the Company or to any management equity plan or stock option plan or any other management or employee benefit plan or agreement of the Company) of Capital Stock (other than Disqualified Stock and Designated Preferred Stock) of the Company,</w:t>
      </w:r>
    </w:p>
    <w:p>
      <w:pPr>
        <w:spacing w:after="0" w:line="124"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in each case designated as Excluded Contributions pursuant to an officer’s certificate executed by the principal financial officer of the Company on the date such capital contributions are made or the date such Capital Stock is sold, as the case may be, which are excluded from the calculation set forth in clause (3) of Section 4.07(a) hereof.</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Proceeds</w:t>
      </w:r>
      <w:r>
        <w:rPr>
          <w:rFonts w:ascii="Arial" w:cs="Arial" w:eastAsia="Arial" w:hAnsi="Arial"/>
          <w:sz w:val="18"/>
          <w:szCs w:val="18"/>
          <w:color w:val="auto"/>
        </w:rPr>
        <w:t>” has the meaning specified in the definition of “Net Proceeds.”</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Secured Notes</w:t>
      </w:r>
      <w:r>
        <w:rPr>
          <w:rFonts w:ascii="Arial" w:cs="Arial" w:eastAsia="Arial" w:hAnsi="Arial"/>
          <w:sz w:val="18"/>
          <w:szCs w:val="18"/>
          <w:color w:val="auto"/>
        </w:rPr>
        <w:t>” means the Issuer’s 5.00% Senior Secured Notes due 2021 issued pursuant to the Indenture dated as of May 21, 2013, among the Issuer, the Guarantors listed therein and The Bank of New York Mellon Trust Company, N.A., as Trustee.</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Senior Notes</w:t>
      </w:r>
      <w:r>
        <w:rPr>
          <w:rFonts w:ascii="Arial" w:cs="Arial" w:eastAsia="Arial" w:hAnsi="Arial"/>
          <w:sz w:val="17"/>
          <w:szCs w:val="17"/>
          <w:color w:val="auto"/>
        </w:rPr>
        <w:t xml:space="preserve">” means (a) the Issuer’s Senior Floating Rate Notes due 2014 issued pursuant to the Indenture dated as of December 1, 2006, among the Issuer, the Guarantors listed therein and The Bank of New York Mellon, as Trustee, (b) the Issuer’s 10 </w:t>
      </w:r>
      <w:r>
        <w:rPr>
          <w:rFonts w:ascii="Arial" w:cs="Arial" w:eastAsia="Arial" w:hAnsi="Arial"/>
          <w:sz w:val="14"/>
          <w:szCs w:val="14"/>
          <w:color w:val="auto"/>
        </w:rPr>
        <w:t>3</w:t>
      </w:r>
      <w:r>
        <w:rPr>
          <w:rFonts w:ascii="Arial" w:cs="Arial" w:eastAsia="Arial" w:hAnsi="Arial"/>
          <w:sz w:val="17"/>
          <w:szCs w:val="17"/>
          <w:color w:val="auto"/>
        </w:rPr>
        <w:t>/4% Senior Notes due 2020 issued pursuant to the Indenture, dated as of September 30, 2010, among the Issuer, the Guarantors listed therein and The Bank of New York Mellon Trust Company, N.A., as Trustee, and (c) the Issuer’s 8.05% Senior Notes due 2020 issued pursuant to the Indenture, dated as of June 10, 2011, among the Issuer, the Guarantors listed therein and The Bank of New York Mellon Trust Company, N.A., as Trustee.</w:t>
      </w:r>
    </w:p>
    <w:p>
      <w:pPr>
        <w:spacing w:after="0" w:line="30" w:lineRule="exact"/>
        <w:rPr>
          <w:sz w:val="20"/>
          <w:szCs w:val="20"/>
          <w:color w:val="auto"/>
        </w:rPr>
      </w:pPr>
    </w:p>
    <w:p>
      <w:pPr>
        <w:ind w:right="120" w:firstLine="913"/>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Subordinated Notes</w:t>
      </w:r>
      <w:r>
        <w:rPr>
          <w:rFonts w:ascii="Arial" w:cs="Arial" w:eastAsia="Arial" w:hAnsi="Arial"/>
          <w:sz w:val="18"/>
          <w:szCs w:val="18"/>
          <w:color w:val="auto"/>
        </w:rPr>
        <w:t xml:space="preserve">” means the Issuer’s 10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Subordinated Notes due 2016 issued pursuant to the Indenture dated as of December 1, 2006, among the Issuer, the Guarantors listed therein and The Bank of New York Mellon as Trustee.</w:t>
      </w:r>
    </w:p>
    <w:p>
      <w:pPr>
        <w:spacing w:after="0" w:line="140"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Term Loan Facilities</w:t>
      </w:r>
      <w:r>
        <w:rPr>
          <w:rFonts w:ascii="Arial" w:cs="Arial" w:eastAsia="Arial" w:hAnsi="Arial"/>
          <w:sz w:val="16"/>
          <w:szCs w:val="16"/>
          <w:color w:val="auto"/>
        </w:rPr>
        <w:t>” means the term loan facilities dated as of March 4, 2011, as amended by (i) the joinder and amendment agreement dated as of November 18, 2011, (ii) the new term loan joinder agreement dated as of February 16, 2012, (iii) the new term loan joinder agreement dated as of December 10, 2012, (iv) the 2013 new term loan joinder agreement dated as of November 27, 2013 and (v) the 2014 new term loan joinder agreement dated as of February 18, 2014, by and among, the Company, NXP Funding LLC, the other Restricted Subsidiaries party thereto, the lenders party thereto in their capacities as lenders thereunder and the administrative agent named therein, including any guarantees, collateral documents, instruments and agreements executed in connection therewith, and any amendments, supplements, modifications, extensions, renewals,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18" w:name="page219"/>
    <w:bookmarkEnd w:id="218"/>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restatements, refundings or refinancings thereof and any indentures or credit facilities or commercial paper facilities with banks or other institutional lenders or investors that replace, refund or refinance any part of the loans, notes, other credit facilities or commitments thereunder, including any such replacement, refunding or refinancing facility or indenture that increases the amount borrowable thereunder or alters the maturity thereof (provided that such increase in borrowings is permitted under Section 4.09 hereof)</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means, with respect to any asset or liability, the fair market value of such asset or liability as determined by the Company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fair market value is equal to or exceeds $100.0 million, such determination shall be made by the board of directors of the Company in good faith.</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w:t>
      </w:r>
      <w:r>
        <w:rPr>
          <w:rFonts w:ascii="Arial" w:cs="Arial" w:eastAsia="Arial" w:hAnsi="Arial"/>
          <w:sz w:val="18"/>
          <w:szCs w:val="18"/>
          <w:color w:val="auto"/>
        </w:rPr>
        <w:t>” means the liens on the Collateral in favor of the Secured Parties under the Collateral Documents relating to the Notes and the other Secured Parties under the other Collateral Documents.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Debt Documents</w:t>
      </w:r>
      <w:r>
        <w:rPr>
          <w:rFonts w:ascii="Arial" w:cs="Arial" w:eastAsia="Arial" w:hAnsi="Arial"/>
          <w:sz w:val="17"/>
          <w:szCs w:val="17"/>
          <w:color w:val="auto"/>
        </w:rPr>
        <w:t>” means the Intercreditor Agreement, the Senior Credit Facilities Documents and any Additional First Lien Debt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Obligations</w:t>
      </w:r>
      <w:r>
        <w:rPr>
          <w:rFonts w:ascii="Arial" w:cs="Arial" w:eastAsia="Arial" w:hAnsi="Arial"/>
          <w:sz w:val="18"/>
          <w:szCs w:val="18"/>
          <w:color w:val="auto"/>
        </w:rPr>
        <w:t>” means the Senior Credit Agreement Obligations and any Additional First Lien Debt Obligations.</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means, with respect to any Person for any period, the ratio of EBITDA of such Person for such period to the Fixed Charges of such Person for such period. In the event that the Company or any Restricted Subsidiary incurs, assumes, guarantees, redeems, retires or extinguishes any Indebtedness (other than Indebtedness incurred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w:t>
      </w:r>
      <w:r>
        <w:rPr>
          <w:rFonts w:ascii="Arial" w:cs="Arial" w:eastAsia="Arial" w:hAnsi="Arial"/>
          <w:sz w:val="17"/>
          <w:szCs w:val="17"/>
          <w:u w:val="single" w:color="auto"/>
          <w:color w:val="auto"/>
        </w:rPr>
        <w:t>Fixed Charge Coverage Ratio Calculation Date</w:t>
      </w:r>
      <w:r>
        <w:rPr>
          <w:rFonts w:ascii="Arial" w:cs="Arial" w:eastAsia="Arial" w:hAnsi="Arial"/>
          <w:sz w:val="17"/>
          <w:szCs w:val="17"/>
          <w:color w:val="auto"/>
        </w:rPr>
        <w:t xml:space="preserve">”), then the Fixed Charge Coverage Ratio shall be calculated giving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effect to such incurrence, assumption, guarantee, redemption, retirement or extinguishment of Indebtedness, or such issuance or redemption of Disqualified Stock or Preferred Stock, as if the same had occurred at the beginning of the applicable four-quarter period.</w:t>
      </w:r>
    </w:p>
    <w:p>
      <w:pPr>
        <w:spacing w:after="0" w:line="179" w:lineRule="exact"/>
        <w:rPr>
          <w:sz w:val="20"/>
          <w:szCs w:val="20"/>
          <w:color w:val="auto"/>
        </w:rPr>
      </w:pPr>
    </w:p>
    <w:p>
      <w:pPr>
        <w:ind w:right="120" w:firstLine="913"/>
        <w:spacing w:after="0" w:line="288" w:lineRule="auto"/>
        <w:rPr>
          <w:sz w:val="20"/>
          <w:szCs w:val="20"/>
          <w:color w:val="auto"/>
        </w:rPr>
      </w:pPr>
      <w:r>
        <w:rPr>
          <w:rFonts w:ascii="Arial" w:cs="Arial" w:eastAsia="Arial" w:hAnsi="Arial"/>
          <w:sz w:val="16"/>
          <w:szCs w:val="16"/>
          <w:color w:val="auto"/>
        </w:rPr>
        <w:t xml:space="preserve">For purposes of making the computation referred to above, Investments, acquisitions, dispositions, mergers, amalgamations, consolidations and disposed operations (as determined in accordance with GAAP) that have been made by the Company or any of its Restricted Subsidiaries during the four-quarter reference period or subsequent to such reference period and on or prior to or simultaneously with the Fixed Charge Coverage Ratio Calculation Date shall be calculated on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basis assuming that all such Investments, acquisitions, dispositions, mergers, amalgamations, consolidations and disposed operations (and the change in any associated fixed charge obligations and the change in EBITDA resulting therefrom) had occurred on the first day of the four-quarter reference period. If since the beginning of such period any Person that subsequently became a Restricted Subsidiary or was merged with or into the Company or any of its Restricted Subsidiaries since the beginning of such period shall have made any Investment, acquisition, disposition, merger, amalgamation, consolidation or disposed operation that would have required adjustment pursuant to this definition, then the Fixed Charge Coverage Ratio shall be calculated giving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effect thereto for such period as if such Investment, acquisition, disposition, merger, consolidation or disposed operation had occurred at the beginning of the applicable four-quarter period.</w:t>
      </w:r>
    </w:p>
    <w:p>
      <w:pPr>
        <w:spacing w:after="0" w:line="169"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For purposes of this definition, whenever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is to be given to a transaction, Investment, acquisition, disposition, merger, amalgamation or consolidation (including the Transaction and the Merger) and the amount of income or earnings relating thereto, the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calculations shall be made in good faith by a responsible financial or accounting officer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19" w:name="page220"/>
    <w:bookmarkEnd w:id="21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(and may include, for the avoidance of doubt, cost savings and operating expense reductions resulting from such Investment, acquisition, merger, amalgamation or consolidation (including the Transaction and the Merger) which is being given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effect that have been or are expected to be realized). If any Indebtedness bears a floating rate of interest and is being given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Company to be the rate of interest implicit in such Capitalized Lease Obligation in accordance with GAAP. For purposes of making the computation referred to above, interest on any Indebtedness under a revolving credit facility computed on a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Company may designate.</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means, with respect to any Person for any period, the sum of, without duplication:</w:t>
      </w:r>
    </w:p>
    <w:p>
      <w:pPr>
        <w:spacing w:after="0" w:line="117" w:lineRule="exact"/>
        <w:rPr>
          <w:sz w:val="20"/>
          <w:szCs w:val="20"/>
          <w:color w:val="auto"/>
        </w:rPr>
      </w:pPr>
    </w:p>
    <w:p>
      <w:pPr>
        <w:ind w:left="1160" w:hanging="257"/>
        <w:spacing w:after="0"/>
        <w:tabs>
          <w:tab w:leader="none" w:pos="11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117" w:lineRule="exact"/>
        <w:rPr>
          <w:rFonts w:ascii="Arial" w:cs="Arial" w:eastAsia="Arial" w:hAnsi="Arial"/>
          <w:sz w:val="18"/>
          <w:szCs w:val="18"/>
          <w:color w:val="auto"/>
        </w:rPr>
      </w:pPr>
    </w:p>
    <w:p>
      <w:pPr>
        <w:ind w:left="460" w:right="480" w:firstLine="443"/>
        <w:spacing w:after="0" w:line="277" w:lineRule="auto"/>
        <w:tabs>
          <w:tab w:leader="none" w:pos="115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Preferred Stock during such period;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all cash dividends or other distributions paid (excluding items eliminated in consolidation) on any series of Disqualified Stock during such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Acquisition Co.</w:t>
      </w:r>
      <w:r>
        <w:rPr>
          <w:rFonts w:ascii="Arial" w:cs="Arial" w:eastAsia="Arial" w:hAnsi="Arial"/>
          <w:sz w:val="16"/>
          <w:szCs w:val="16"/>
          <w:color w:val="auto"/>
        </w:rPr>
        <w:t>” means a direct Subsidiary of Holdings III or Holdings IV formed after the Issue Date as a holding company for the Transferred Foreign Subsidiaries and other Foreign Subsidiaries of Holdings III that are not Subsidiaries of Holdings V and (a) that provides a Guarantee and</w:t>
      </w:r>
    </w:p>
    <w:p>
      <w:pPr>
        <w:ind w:right="260" w:firstLine="8"/>
        <w:spacing w:after="0" w:line="254" w:lineRule="auto"/>
        <w:tabs>
          <w:tab w:leader="none" w:pos="25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all of whose stock shall be pledged by Holdings III or Holdings IV, as applicable, to secure the Obligations under this Indenture and the Notes, which Foreign Acquisition Co. shall be organized under the laws of Hungary, Luxembourg, The Netherlands, Iceland, Bermuda, Barbados, Mauritius, the British Virgin Islands, Malta, Cyprus or such other jurisdiction requested by Holdings III and reasonably acceptable to each administrative agent under the Senior Credit Facilities.</w:t>
      </w:r>
    </w:p>
    <w:p>
      <w:pPr>
        <w:spacing w:after="0" w:line="19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Reorganization</w:t>
      </w:r>
      <w:r>
        <w:rPr>
          <w:rFonts w:ascii="Arial" w:cs="Arial" w:eastAsia="Arial" w:hAnsi="Arial"/>
          <w:sz w:val="18"/>
          <w:szCs w:val="18"/>
          <w:color w:val="auto"/>
        </w:rPr>
        <w:t xml:space="preserve">” means the transfer of any Foreign Subsidiary of the Issuer or any transfer of any assets or property of any Foreign Subsidiary of the Issuer to Foreign Acquisition Co. or any Subsidiary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transferred Foreign Subsidiary and any Person who holds such transferred assets or property (in each case, a “</w:t>
      </w:r>
      <w:r>
        <w:rPr>
          <w:rFonts w:ascii="Arial" w:cs="Arial" w:eastAsia="Arial" w:hAnsi="Arial"/>
          <w:sz w:val="18"/>
          <w:szCs w:val="18"/>
          <w:u w:val="single" w:color="auto"/>
          <w:color w:val="auto"/>
        </w:rPr>
        <w:t>Transferred Foreign Subsidiary</w:t>
      </w:r>
      <w:r>
        <w:rPr>
          <w:rFonts w:ascii="Arial" w:cs="Arial" w:eastAsia="Arial" w:hAnsi="Arial"/>
          <w:sz w:val="18"/>
          <w:szCs w:val="18"/>
          <w:color w:val="auto"/>
        </w:rPr>
        <w:t>”) shall become a Guarantor of the Obligations under this Indenture and the Notes and Foreign Acquisition Co., shall pledge or cause to be pledged 100% of the Equity Interests of such Transferred Foreign Subsidiary to secure the Obligations under this Indenture and the Notes.</w:t>
      </w:r>
    </w:p>
    <w:p>
      <w:pPr>
        <w:spacing w:after="0" w:line="188"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Subsidiary</w:t>
      </w:r>
      <w:r>
        <w:rPr>
          <w:rFonts w:ascii="Arial" w:cs="Arial" w:eastAsia="Arial" w:hAnsi="Arial"/>
          <w:sz w:val="16"/>
          <w:szCs w:val="16"/>
          <w:color w:val="auto"/>
        </w:rPr>
        <w:t>” means, with respect to any Person, any Restricted Subsidiary of such Person that is not organized or existing under the laws of the United States, any state thereof, the District of Columbia, or any territory thereof and any Restricted Subsidiary of such Foreign Subsidiary.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which are in effect on the Transaction Date.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20" w:name="page221"/>
    <w:bookmarkEnd w:id="220"/>
    <w:p>
      <w:pPr>
        <w:ind w:right="2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Global Note Legend</w:t>
      </w:r>
      <w:r>
        <w:rPr>
          <w:rFonts w:ascii="Arial" w:cs="Arial" w:eastAsia="Arial" w:hAnsi="Arial"/>
          <w:sz w:val="18"/>
          <w:szCs w:val="18"/>
          <w:color w:val="auto"/>
        </w:rPr>
        <w:t>” means the legend set forth in Section 2.06(f)(ii) hereof, which is required to be placed on all Global Notes issued under this Indenture.</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Notes</w:t>
      </w:r>
      <w:r>
        <w:rPr>
          <w:rFonts w:ascii="Arial" w:cs="Arial" w:eastAsia="Arial" w:hAnsi="Arial"/>
          <w:sz w:val="18"/>
          <w:szCs w:val="18"/>
          <w:color w:val="auto"/>
        </w:rPr>
        <w:t xml:space="preserve">” means, individually and collectively, each of the Restricted Global Notes and the Unrestricted Global Notes,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issued in accordance with Section 2.01, 2.06(b) or 2.06(d) 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Securities</w:t>
      </w:r>
      <w:r>
        <w:rPr>
          <w:rFonts w:ascii="Arial" w:cs="Arial" w:eastAsia="Arial" w:hAnsi="Arial"/>
          <w:sz w:val="18"/>
          <w:szCs w:val="18"/>
          <w:color w:val="auto"/>
        </w:rPr>
        <w:t>” means securities that are:</w:t>
      </w:r>
    </w:p>
    <w:p>
      <w:pPr>
        <w:spacing w:after="0" w:line="117" w:lineRule="exact"/>
        <w:rPr>
          <w:sz w:val="20"/>
          <w:szCs w:val="20"/>
          <w:color w:val="auto"/>
        </w:rPr>
      </w:pPr>
    </w:p>
    <w:p>
      <w:pPr>
        <w:ind w:left="1160" w:hanging="257"/>
        <w:spacing w:after="0"/>
        <w:tabs>
          <w:tab w:leader="none" w:pos="11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117" w:lineRule="exact"/>
        <w:rPr>
          <w:rFonts w:ascii="Arial" w:cs="Arial" w:eastAsia="Arial" w:hAnsi="Arial"/>
          <w:sz w:val="18"/>
          <w:szCs w:val="18"/>
          <w:color w:val="auto"/>
        </w:rPr>
      </w:pPr>
    </w:p>
    <w:p>
      <w:pPr>
        <w:ind w:left="460" w:right="400" w:firstLine="443"/>
        <w:spacing w:after="0" w:line="308" w:lineRule="auto"/>
        <w:tabs>
          <w:tab w:leader="none" w:pos="1153" w:val="left"/>
        </w:tabs>
        <w:numPr>
          <w:ilvl w:val="0"/>
          <w:numId w:val="340"/>
        </w:numPr>
        <w:rPr>
          <w:rFonts w:ascii="Arial" w:cs="Arial" w:eastAsia="Arial" w:hAnsi="Arial"/>
          <w:sz w:val="17"/>
          <w:szCs w:val="17"/>
          <w:color w:val="auto"/>
        </w:rPr>
      </w:pPr>
      <w:r>
        <w:rPr>
          <w:rFonts w:ascii="Arial" w:cs="Arial" w:eastAsia="Arial" w:hAnsi="Arial"/>
          <w:sz w:val="17"/>
          <w:szCs w:val="17"/>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spacing w:after="0" w:line="19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guarantee by any Guarantor of the Issuer’s Obligations under this Indenture and the Notes.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the Parent Guarantors and each Subsidiary of the Company, if any, that Guarantees the Notes in accordance with the terms of this Indenture.</w:t>
      </w:r>
    </w:p>
    <w:p>
      <w:pPr>
        <w:spacing w:after="0" w:line="17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 currency swap agreement or similar agreement providing for the transfer or mitigation of interest rate or currency risks either generally or under specific contingencies.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a Note is registered on the Registrar’s books.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I</w:t>
      </w:r>
      <w:r>
        <w:rPr>
          <w:rFonts w:ascii="Arial" w:cs="Arial" w:eastAsia="Arial" w:hAnsi="Arial"/>
          <w:sz w:val="18"/>
          <w:szCs w:val="18"/>
          <w:color w:val="auto"/>
        </w:rPr>
        <w:t>” means Freescale Semiconductor, Ltd., a Bermuda exempted limited liability company, and its 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 II</w:t>
      </w:r>
      <w:r>
        <w:rPr>
          <w:rFonts w:ascii="Arial" w:cs="Arial" w:eastAsia="Arial" w:hAnsi="Arial"/>
          <w:sz w:val="17"/>
          <w:szCs w:val="17"/>
          <w:color w:val="auto"/>
        </w:rPr>
        <w:t>” means Freescale Semiconductor Holdings II, Ltd., a Bermuda exempted company limited by shares, and its successors.</w:t>
      </w:r>
    </w:p>
    <w:p>
      <w:pPr>
        <w:spacing w:after="0" w:line="237" w:lineRule="exact"/>
        <w:rPr>
          <w:sz w:val="20"/>
          <w:szCs w:val="20"/>
          <w:color w:val="auto"/>
        </w:rPr>
      </w:pPr>
    </w:p>
    <w:p>
      <w:pPr>
        <w:jc w:val="center"/>
        <w:ind w:left="420" w:right="7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III</w:t>
      </w:r>
      <w:r>
        <w:rPr>
          <w:rFonts w:ascii="Arial" w:cs="Arial" w:eastAsia="Arial" w:hAnsi="Arial"/>
          <w:sz w:val="18"/>
          <w:szCs w:val="18"/>
          <w:color w:val="auto"/>
        </w:rPr>
        <w:t>” means Freescale Semiconductor Holdings III, Ltd., a Bermuda exempted company limited by shares, and its successors. 18</w:t>
      </w:r>
    </w:p>
    <w:p>
      <w:pPr>
        <w:sectPr>
          <w:pgSz w:w="11900" w:h="16838" w:orient="portrait"/>
          <w:cols w:equalWidth="0" w:num="1">
            <w:col w:w="11400"/>
          </w:cols>
          <w:pgMar w:left="240" w:top="274" w:right="259" w:bottom="1440" w:gutter="0" w:footer="0" w:header="0"/>
        </w:sectPr>
      </w:pPr>
    </w:p>
    <w:bookmarkStart w:id="221" w:name="page222"/>
    <w:bookmarkEnd w:id="221"/>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Holdings IV</w:t>
      </w:r>
      <w:r>
        <w:rPr>
          <w:rFonts w:ascii="Arial" w:cs="Arial" w:eastAsia="Arial" w:hAnsi="Arial"/>
          <w:sz w:val="17"/>
          <w:szCs w:val="17"/>
          <w:color w:val="auto"/>
        </w:rPr>
        <w:t>” means Freescale Semiconductor Holdings IV, Ltd., a Bermuda exempted company limited by shares, and its successors.</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V</w:t>
      </w:r>
      <w:r>
        <w:rPr>
          <w:rFonts w:ascii="Arial" w:cs="Arial" w:eastAsia="Arial" w:hAnsi="Arial"/>
          <w:sz w:val="18"/>
          <w:szCs w:val="18"/>
          <w:color w:val="auto"/>
        </w:rPr>
        <w:t>” means Freescale Semiconductor Holdings V, Inc., a Delaware corporation.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without duplication:</w:t>
      </w:r>
    </w:p>
    <w:p>
      <w:pPr>
        <w:spacing w:after="0" w:line="117" w:lineRule="exact"/>
        <w:rPr>
          <w:sz w:val="20"/>
          <w:szCs w:val="20"/>
          <w:color w:val="auto"/>
        </w:rPr>
      </w:pPr>
    </w:p>
    <w:p>
      <w:pPr>
        <w:ind w:left="1160" w:hanging="257"/>
        <w:spacing w:after="0"/>
        <w:tabs>
          <w:tab w:leader="none" w:pos="11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indebtedness (including principal and premium) of such Person, whether or not contingent:</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920" w:right="500" w:firstLine="421"/>
        <w:spacing w:after="0" w:line="277" w:lineRule="auto"/>
        <w:tabs>
          <w:tab w:leader="none" w:pos="1595" w:val="left"/>
        </w:tabs>
        <w:numPr>
          <w:ilvl w:val="1"/>
          <w:numId w:val="341"/>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bankers’ acceptances (or, without duplication, reimbursement agreements in respect thereof);</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representing the balance deferred and unpaid of the purchase price of any property (including Capitalized Lease Obligations), except</w:t>
      </w:r>
    </w:p>
    <w:p>
      <w:pPr>
        <w:spacing w:after="0" w:line="46" w:lineRule="exact"/>
        <w:rPr>
          <w:rFonts w:ascii="Arial" w:cs="Arial" w:eastAsia="Arial" w:hAnsi="Arial"/>
          <w:sz w:val="16"/>
          <w:szCs w:val="16"/>
          <w:color w:val="auto"/>
        </w:rPr>
      </w:pPr>
    </w:p>
    <w:p>
      <w:pPr>
        <w:ind w:left="920" w:right="80"/>
        <w:spacing w:after="0" w:line="277" w:lineRule="auto"/>
        <w:rPr>
          <w:rFonts w:ascii="Arial" w:cs="Arial" w:eastAsia="Arial" w:hAnsi="Arial"/>
          <w:sz w:val="16"/>
          <w:szCs w:val="16"/>
          <w:color w:val="auto"/>
        </w:rPr>
      </w:pPr>
      <w:r>
        <w:rPr>
          <w:rFonts w:ascii="Arial" w:cs="Arial" w:eastAsia="Arial" w:hAnsi="Arial"/>
          <w:sz w:val="17"/>
          <w:szCs w:val="17"/>
          <w:color w:val="auto"/>
        </w:rPr>
        <w:t>(i) any such balance that constitutes an obligation in respect of a commercial letter of credit, a trade payable or similar obligation to a trade creditor, in each case accrued in the ordinary course of business and (ii) any earn-out obligations until such obligation becomes a liability on the balance sheet of such Person in accordance with GAAP and if not paid after becoming due and payable;</w:t>
      </w:r>
    </w:p>
    <w:p>
      <w:pPr>
        <w:spacing w:after="0" w:line="65" w:lineRule="exact"/>
        <w:rPr>
          <w:rFonts w:ascii="Arial" w:cs="Arial" w:eastAsia="Arial" w:hAnsi="Arial"/>
          <w:sz w:val="16"/>
          <w:szCs w:val="16"/>
          <w:color w:val="auto"/>
        </w:rPr>
      </w:pPr>
    </w:p>
    <w:p>
      <w:pPr>
        <w:ind w:left="1600" w:hanging="259"/>
        <w:spacing w:after="0"/>
        <w:tabs>
          <w:tab w:leader="none" w:pos="16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representing any Hedging Obligations; or</w:t>
      </w:r>
    </w:p>
    <w:p>
      <w:pPr>
        <w:spacing w:after="0" w:line="117" w:lineRule="exact"/>
        <w:rPr>
          <w:rFonts w:ascii="Arial" w:cs="Arial" w:eastAsia="Arial" w:hAnsi="Arial"/>
          <w:sz w:val="18"/>
          <w:szCs w:val="18"/>
          <w:color w:val="auto"/>
        </w:rPr>
      </w:pPr>
    </w:p>
    <w:p>
      <w:pPr>
        <w:jc w:val="both"/>
        <w:ind w:left="920" w:right="320" w:firstLine="421"/>
        <w:spacing w:after="0" w:line="264" w:lineRule="auto"/>
        <w:tabs>
          <w:tab w:leader="none" w:pos="1585" w:val="left"/>
        </w:tabs>
        <w:numPr>
          <w:ilvl w:val="1"/>
          <w:numId w:val="341"/>
        </w:numPr>
        <w:rPr>
          <w:rFonts w:ascii="Arial" w:cs="Arial" w:eastAsia="Arial" w:hAnsi="Arial"/>
          <w:sz w:val="18"/>
          <w:szCs w:val="18"/>
          <w:color w:val="auto"/>
        </w:rPr>
      </w:pPr>
      <w:r>
        <w:rPr>
          <w:rFonts w:ascii="Arial" w:cs="Arial" w:eastAsia="Arial" w:hAnsi="Arial"/>
          <w:sz w:val="18"/>
          <w:szCs w:val="18"/>
          <w:color w:val="auto"/>
        </w:rPr>
        <w:t>during a Suspension Period only, obligations of the lessee for rental payments in respect of Sale and Lease-Back Transactions in an amount equal to the present value of such obligations during the remaining term of the lease using a discount rate equal to the rate of interest implicit in such transaction determined in accordance with GAAP,</w:t>
      </w:r>
    </w:p>
    <w:p>
      <w:pPr>
        <w:spacing w:after="0" w:line="73"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 xml:space="preserve">if and to the extent that any of the foregoing Indebtedness (other than letters of credit and Hedging Obligations) would appear as a liability upon a balance sheet (excluding the footnotes thereto) of such Person prepared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Indebtedness of any direct or indirect parent of the Company appearing upon the balance sheet of the Company solely by reason of push-down accounting under GAAP shall be excluded.</w:t>
      </w:r>
    </w:p>
    <w:p>
      <w:pPr>
        <w:spacing w:after="0" w:line="39" w:lineRule="exact"/>
        <w:rPr>
          <w:sz w:val="20"/>
          <w:szCs w:val="20"/>
          <w:color w:val="auto"/>
        </w:rPr>
      </w:pPr>
    </w:p>
    <w:p>
      <w:pPr>
        <w:ind w:left="460" w:right="340" w:firstLine="443"/>
        <w:spacing w:after="0" w:line="286" w:lineRule="auto"/>
        <w:tabs>
          <w:tab w:leader="none" w:pos="1153"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to the extent not otherwise included, any obligation by such Person to be liable for, or to pay, as obligor, guarantor or otherwise, on the obligations of the type referred to in clause (1) of a third Person (whether or not such items would appear upon the balance sheet of such obligor or guarantor), other than by endorsement of negotiable instruments for collection in the ordinary course of business; and</w:t>
      </w:r>
    </w:p>
    <w:p>
      <w:pPr>
        <w:spacing w:after="0" w:line="57"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to the extent not otherwise included, the obligations of the type referred to in clause (1) of a third Person secured by a Lien on any asset owned by such first Person, whether or not such Indebtedness is assumed by such first Person;</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Indebtedness shall be deemed not to include (a) Contingent Obligations incurred in the ordinary course of business or (b) obligations under or in respect of Qualified Securitization Facilities.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22" w:name="page223"/>
    <w:bookmarkEnd w:id="22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Amended and Restated Indenture, as amended or supplemented from time to time.</w:t>
      </w:r>
    </w:p>
    <w:p>
      <w:pPr>
        <w:spacing w:after="0" w:line="225"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Financial Advisor</w:t>
      </w:r>
      <w:r>
        <w:rPr>
          <w:rFonts w:ascii="Arial" w:cs="Arial" w:eastAsia="Arial" w:hAnsi="Arial"/>
          <w:sz w:val="16"/>
          <w:szCs w:val="16"/>
          <w:color w:val="auto"/>
        </w:rPr>
        <w:t>” means an accounting, appraisal, investment banking firm or consultant to Persons engaged in Similar Businesses of nationally recognized standing that is, in the good faith judgment of the Company, qualified to perform the task for which it has been engaged.</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means the intellectual property security agreement dated on or about the Issue Date, among the Issuer, Holdings V, SigmaTel, the subsidiaries of Holdings III from time to time party thereto and the Collateral Agent, as amended, supplemented, modified, extended, renewed or restated from time to time.</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xml:space="preserve">” means the collateral agency agreement dated September 29, 2006 among, </w:t>
      </w:r>
      <w:r>
        <w:rPr>
          <w:rFonts w:ascii="Arial" w:cs="Arial" w:eastAsia="Arial" w:hAnsi="Arial"/>
          <w:sz w:val="18"/>
          <w:szCs w:val="18"/>
          <w:i w:val="1"/>
          <w:iCs w:val="1"/>
          <w:color w:val="auto"/>
        </w:rPr>
        <w:t>inter alios</w:t>
      </w:r>
      <w:r>
        <w:rPr>
          <w:rFonts w:ascii="Arial" w:cs="Arial" w:eastAsia="Arial" w:hAnsi="Arial"/>
          <w:sz w:val="18"/>
          <w:szCs w:val="18"/>
          <w:color w:val="auto"/>
        </w:rPr>
        <w:t>, the Company, the Guarantors listed therein, the secured parties listed therein and Morgan Stanley Senior Funding, Inc., as amended, supplemented, modified, extended, renewed or restated from time to time.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Notes</w:t>
      </w:r>
      <w:r>
        <w:rPr>
          <w:rFonts w:ascii="Arial" w:cs="Arial" w:eastAsia="Arial" w:hAnsi="Arial"/>
          <w:sz w:val="18"/>
          <w:szCs w:val="18"/>
          <w:color w:val="auto"/>
        </w:rPr>
        <w:t>” as defined in the recitals hereto.</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means J.P. Morgan Securities LLC, Credit Suisse Securities (USA) LLC, Barclays Capital Inc., Citigroup Global Markets Inc., Deutsche Bank Securities Inc., Goldman, Sachs &amp; Co. and Morgan Stanley &amp; Co. LLC.</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May 15 and November 15 of each year to stated maturity.</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rating equal to or higher than Baa3 (or the equivalent) by Moody’s and BBB-(or the equivalent) by S&amp;P, or an equivalent rating by any other Rating Agency.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Securities</w:t>
      </w:r>
      <w:r>
        <w:rPr>
          <w:rFonts w:ascii="Arial" w:cs="Arial" w:eastAsia="Arial" w:hAnsi="Arial"/>
          <w:sz w:val="18"/>
          <w:szCs w:val="18"/>
          <w:color w:val="auto"/>
        </w:rPr>
        <w:t>” means:</w:t>
      </w:r>
    </w:p>
    <w:p>
      <w:pPr>
        <w:spacing w:after="0" w:line="117" w:lineRule="exact"/>
        <w:rPr>
          <w:sz w:val="20"/>
          <w:szCs w:val="20"/>
          <w:color w:val="auto"/>
        </w:rPr>
      </w:pPr>
    </w:p>
    <w:p>
      <w:pPr>
        <w:ind w:left="460" w:right="140" w:firstLine="443"/>
        <w:spacing w:after="0" w:line="277" w:lineRule="auto"/>
        <w:tabs>
          <w:tab w:leader="none" w:pos="115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instruments constituting loans or advances among the Company and its Subsidiaries;</w:t>
      </w:r>
    </w:p>
    <w:p>
      <w:pPr>
        <w:spacing w:after="0" w:line="62" w:lineRule="exact"/>
        <w:rPr>
          <w:rFonts w:ascii="Arial" w:cs="Arial" w:eastAsia="Arial" w:hAnsi="Arial"/>
          <w:sz w:val="18"/>
          <w:szCs w:val="18"/>
          <w:color w:val="auto"/>
        </w:rPr>
      </w:pPr>
    </w:p>
    <w:p>
      <w:pPr>
        <w:ind w:left="460" w:right="660" w:firstLine="443"/>
        <w:spacing w:after="0" w:line="277" w:lineRule="auto"/>
        <w:tabs>
          <w:tab w:leader="none" w:pos="115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investments in any fund that invests exclusively in investments of the type described in clauses (1) and (2) which fund may also hold immaterial amounts of cash pending investment or distribution;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corresponding instruments in countries other than the United States customarily utilized for high quality investments.</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Investments</w:t>
      </w:r>
      <w:r>
        <w:rPr>
          <w:rFonts w:ascii="Arial" w:cs="Arial" w:eastAsia="Arial" w:hAnsi="Arial"/>
          <w:sz w:val="18"/>
          <w:szCs w:val="18"/>
          <w:color w:val="auto"/>
        </w:rPr>
        <w:t>” means,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23" w:name="page224"/>
    <w:bookmarkEnd w:id="22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issued by any other Person and investments that are required by GAAP to be classified on the balance sheet (excluding the footnotes) of the Company in the same manner as the other investments included in this definition to the extent such transactions involve the transfer of cash or other property. For purposes of the definition of “Unrestricted Subsidiary” and Section 4.07 hereof:</w:t>
      </w:r>
    </w:p>
    <w:p>
      <w:pPr>
        <w:spacing w:after="0" w:line="73" w:lineRule="exact"/>
        <w:rPr>
          <w:sz w:val="20"/>
          <w:szCs w:val="20"/>
          <w:color w:val="auto"/>
        </w:rPr>
      </w:pPr>
    </w:p>
    <w:p>
      <w:pPr>
        <w:jc w:val="both"/>
        <w:ind w:left="460" w:right="20" w:firstLine="443"/>
        <w:spacing w:after="0" w:line="259" w:lineRule="auto"/>
        <w:tabs>
          <w:tab w:leader="none" w:pos="115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“Investments” shall include the portion (proportionate to the Company’s equity interest in such Subsidiary) of the fair market value of the net assets of a Subsidiary of the Company at the time that such Subsidiary is designated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upon a redesignation of such Subsidiary as a Restricted Subsidiary, the Company shall be deemed to continue to have a permanent “Investment” in an Unrestricted Subsidiary in an amount (if positive) equal to:</w:t>
      </w:r>
    </w:p>
    <w:p>
      <w:pPr>
        <w:spacing w:after="0" w:line="78" w:lineRule="exact"/>
        <w:rPr>
          <w:rFonts w:ascii="Arial" w:cs="Arial" w:eastAsia="Arial" w:hAnsi="Arial"/>
          <w:sz w:val="18"/>
          <w:szCs w:val="18"/>
          <w:color w:val="auto"/>
        </w:rPr>
      </w:pPr>
    </w:p>
    <w:p>
      <w:pPr>
        <w:ind w:left="1580" w:hanging="239"/>
        <w:spacing w:after="0"/>
        <w:tabs>
          <w:tab w:leader="none" w:pos="15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Company’s “Investment” in such Subsidiary at the time of such redesignation; less</w:t>
      </w:r>
    </w:p>
    <w:p>
      <w:pPr>
        <w:spacing w:after="0" w:line="117" w:lineRule="exact"/>
        <w:rPr>
          <w:rFonts w:ascii="Arial" w:cs="Arial" w:eastAsia="Arial" w:hAnsi="Arial"/>
          <w:sz w:val="18"/>
          <w:szCs w:val="18"/>
          <w:color w:val="auto"/>
        </w:rPr>
      </w:pPr>
    </w:p>
    <w:p>
      <w:pPr>
        <w:ind w:left="920" w:right="540" w:firstLine="421"/>
        <w:spacing w:after="0" w:line="277" w:lineRule="auto"/>
        <w:tabs>
          <w:tab w:leader="none" w:pos="1595"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portion (proportionate to the Company’s Equity Interest in such Subsidiary) of the fair market value of the net assets of such Subsidiary at the time of such redesignation;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any property transferred to or from an Unrestricted Subsidiary shall be valued at its fair market value at the time of such transfer.</w:t>
      </w:r>
    </w:p>
    <w:p>
      <w:pPr>
        <w:spacing w:after="0" w:line="237"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The amount of any Investment outstanding at any time shall be the original cost of such Investment, reduced by any dividend, distribution, interest payment, return of capital, repayment or other amount received in cash by the Company or a Restricted Subsidiary in respect of such Investment.</w:t>
      </w:r>
    </w:p>
    <w:p>
      <w:pPr>
        <w:spacing w:after="0" w:line="124"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The Blackstone Group, The Carlyle Group, Permira funds advised by Permira Advisers LLC, Texas Pacific Group and, if applicable, each of their respective Affiliates and funds or partnerships managed by any of them or their respective Affiliates but not including, however, any portfolio companies of any of the foregoing.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November 1, 2013.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means Freescale Semiconductor, Inc., a Delaware corporation (and not any of its Subsidiaries), and its successors.</w:t>
      </w:r>
    </w:p>
    <w:p>
      <w:pPr>
        <w:spacing w:after="0" w:line="225"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Order</w:t>
      </w:r>
      <w:r>
        <w:rPr>
          <w:rFonts w:ascii="Arial" w:cs="Arial" w:eastAsia="Arial" w:hAnsi="Arial"/>
          <w:sz w:val="17"/>
          <w:szCs w:val="17"/>
          <w:color w:val="auto"/>
        </w:rPr>
        <w:t>” means a written request or order signed on behalf of the Issuer by an Officer of the Issuer, who must be the principal executive officer, the principal financial officer, the treasurer or the principal accounting officer of the Issuer, and delivered to the Trustee.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Legal Holiday</w:t>
      </w:r>
      <w:r>
        <w:rPr>
          <w:rFonts w:ascii="Arial" w:cs="Arial" w:eastAsia="Arial" w:hAnsi="Arial"/>
          <w:sz w:val="16"/>
          <w:szCs w:val="16"/>
          <w:color w:val="auto"/>
        </w:rPr>
        <w:t>” means a Saturday, a Sunday or a day on which commercial banking institutions are not required to be open in the State of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operating lease be deemed to constitute a Lien.</w:t>
      </w:r>
    </w:p>
    <w:p>
      <w:pPr>
        <w:spacing w:after="0" w:line="188"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Domestic Subsidiary</w:t>
      </w:r>
      <w:r>
        <w:rPr>
          <w:rFonts w:ascii="Arial" w:cs="Arial" w:eastAsia="Arial" w:hAnsi="Arial"/>
          <w:sz w:val="17"/>
          <w:szCs w:val="17"/>
          <w:color w:val="auto"/>
        </w:rPr>
        <w:t>” means, at any date of determination, each of the Company’s Domestic Subsidiaries other than Holdings V and the Issuer (a) whose total assets at the last day of the most recent test period were equal to or greater than 5% of at such date or (b) whose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74" w:right="319" w:bottom="1440" w:gutter="0" w:footer="0" w:header="0"/>
        </w:sectPr>
      </w:pPr>
    </w:p>
    <w:bookmarkStart w:id="224" w:name="page225"/>
    <w:bookmarkEnd w:id="224"/>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revenues for such test period were equal to or greater than 5% of the consolidated gross revenues of the Company and the Restricted Subsidiaries for such period, determined in accordance with GAAP.</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Foreign Subsidiary</w:t>
      </w:r>
      <w:r>
        <w:rPr>
          <w:rFonts w:ascii="Arial" w:cs="Arial" w:eastAsia="Arial" w:hAnsi="Arial"/>
          <w:sz w:val="17"/>
          <w:szCs w:val="17"/>
          <w:color w:val="auto"/>
        </w:rPr>
        <w:t>” means, at any date of determination, each of the Company’s Foreign Subsidiaries other than Holdings IV</w:t>
      </w:r>
    </w:p>
    <w:p>
      <w:pPr>
        <w:spacing w:after="0" w:line="35" w:lineRule="exact"/>
        <w:rPr>
          <w:sz w:val="20"/>
          <w:szCs w:val="20"/>
          <w:color w:val="auto"/>
        </w:rPr>
      </w:pPr>
    </w:p>
    <w:p>
      <w:pPr>
        <w:ind w:firstLine="8"/>
        <w:spacing w:after="0" w:line="255" w:lineRule="auto"/>
        <w:tabs>
          <w:tab w:leader="none" w:pos="24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whose total assets at the last day of the most recent test period were equal to or greater than 5% of the Total Assets of the Company and the Restricted Subsidiaries at such date or (b) whose gross revenues for such test period were equal to or greater than 5% of the consolidated gross revenues of the Company and the Restricted Subsidiaries for such period, in each case determined in accordance with GAAP.</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Real Property</w:t>
      </w:r>
      <w:r>
        <w:rPr>
          <w:rFonts w:ascii="Arial" w:cs="Arial" w:eastAsia="Arial" w:hAnsi="Arial"/>
          <w:sz w:val="16"/>
          <w:szCs w:val="16"/>
          <w:color w:val="auto"/>
        </w:rPr>
        <w:t>” means any real property owned by the Issuer or any Secured Guarantor with a book value in excess of $25,000,000.</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Date</w:t>
      </w:r>
      <w:r>
        <w:rPr>
          <w:rFonts w:ascii="Arial" w:cs="Arial" w:eastAsia="Arial" w:hAnsi="Arial"/>
          <w:sz w:val="18"/>
          <w:szCs w:val="18"/>
          <w:color w:val="auto"/>
        </w:rPr>
        <w:t>” means September 30, 2010.</w:t>
      </w:r>
    </w:p>
    <w:p>
      <w:pPr>
        <w:spacing w:after="0" w:line="225"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means the merger of Nimble Acquisition Limited, a Bermuda exempted limited liability company, and Holdings I pursuant to the Merger Agreement.</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the merger agreement in relation to the Merger between NXP Holdings, Nimble Acquisition Limited, a Bermuda exempted limited liability company, and Holdings I dated March 1, 2015.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Date</w:t>
      </w:r>
      <w:r>
        <w:rPr>
          <w:rFonts w:ascii="Arial" w:cs="Arial" w:eastAsia="Arial" w:hAnsi="Arial"/>
          <w:sz w:val="18"/>
          <w:szCs w:val="18"/>
          <w:color w:val="auto"/>
        </w:rPr>
        <w:t>” means the date the Merger closes in accordance with the Merger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collectively, the deeds of trust, trust deeds, hypothecs and mortgages made by the Secured Guarantors in favor or for the benefit of the Collateral Agent on behalf of the Secured Parties under the Collateral Documents relating to the Notes in form and substance reasonably satisfactory to the Collateral Agent and Trustee, and any other mortgages executed and delivered pursuant to this Indenture, as amended, supplemented, modified, extended, renewed or restated from time to time.</w:t>
      </w:r>
    </w:p>
    <w:p>
      <w:pPr>
        <w:spacing w:after="0" w:line="18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means, with respect to any Person, the net income (loss) of such Person, determined in accordance with GAAP and before any reduction in respect of Preferred Stock dividends.</w:t>
      </w:r>
    </w:p>
    <w:p>
      <w:pPr>
        <w:spacing w:after="0" w:line="170"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means the aggregate cash proceeds received by the Company or any of its Restricted Subsidiaries in respect of any Asset Sale, including any cash received upon the sale or other disposition of any Designated Non-cash Consideration received in any Asset Sale, net of the direct costs relating to such Asset Sale and the sale or disposition of such Designated Non-cash Consideration, including legal, accounting and investment banking fees, and brokerage and sales commissions, any relocation expenses incurred as a result thereof, taxes paid or payable as a result thereof (after taking into account any available tax credits or deductions and any tax sharing arrangements), amounts required to be applied to the repayment of principal, premium, if any, and interest on Senior Indebtedness required (other than required by clause (1) of Section 4.10(b) hereof) to be paid as a result of such transaction and any deduction of appropriate amounts to be provided by the Company or any of its Restricted Subsidiaries as a reserve in accordance with GAAP against any liabilities associated with the asset disposed of in such transaction and retained by the Company or any of its Restricted Subsidiaries after such sale or other disposition thereof, including pension and other post-employment benefit liabilities and liabilities related to environmental matters or against any indemnification obligations associated with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net proceeds in 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25" w:name="page226"/>
    <w:bookmarkEnd w:id="2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aggregate amount of up to $500,000,000 (the “Excluded Proceeds”) shall not constitute Net Proceeds so long as such net proceeds are, within 60 days following receipt thereof, applied to repay the NXP Notes or other unsecured Indebtedness in respect of borrowed money, or Refinancing Indebtedness of any of the foregoing (and to correspondingly reduce commitments with respect thereto) (provided that to the extent not so applied within such period, such net proceeds shall constitute Net Proceeds for all purposes hereof).</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Notes</w:t>
      </w:r>
      <w:r>
        <w:rPr>
          <w:rFonts w:ascii="Arial" w:cs="Arial" w:eastAsia="Arial" w:hAnsi="Arial"/>
          <w:sz w:val="17"/>
          <w:szCs w:val="17"/>
          <w:color w:val="auto"/>
        </w:rPr>
        <w:t>” means the Initial Notes and more particularly means any Note authenticated and delivered under this Indenture. For all purposes of this Indenture, the term “Notes” shall also include any Additional Notes that may be issued under a supplemental indenture. For purposes of this Indenture, all references to Notes to be issued or authenticated upon transfer, replacement or exchange shall be deemed to refer to Notes.</w:t>
      </w:r>
    </w:p>
    <w:p>
      <w:pPr>
        <w:spacing w:after="0" w:line="166"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February 2013 Indenture</w:t>
      </w:r>
      <w:r>
        <w:rPr>
          <w:rFonts w:ascii="Arial" w:cs="Arial" w:eastAsia="Arial" w:hAnsi="Arial"/>
          <w:sz w:val="18"/>
          <w:szCs w:val="18"/>
          <w:color w:val="auto"/>
        </w:rPr>
        <w:t>” means the indenture dated February 14, 2013, among, inter alios, the Company, the NXP Notes Co-Issuer, the guarantors listed therein and Deutsche Bank Trust Company Americas, as trustee, as amended from time to time.</w:t>
      </w:r>
    </w:p>
    <w:p>
      <w:pPr>
        <w:spacing w:after="0" w:line="17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February 2013 Notes</w:t>
      </w:r>
      <w:r>
        <w:rPr>
          <w:rFonts w:ascii="Arial" w:cs="Arial" w:eastAsia="Arial" w:hAnsi="Arial"/>
          <w:sz w:val="18"/>
          <w:szCs w:val="18"/>
          <w:color w:val="auto"/>
        </w:rPr>
        <w:t>” means the $500 million in aggregate principal amount of 5.75% senior unsecured notes due 2021 issued by the Company and the NXP Notes Co-Issuer on February 14, 2013 pursuant to the NXP February 2013 Indenture.</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Holdings</w:t>
      </w:r>
      <w:r>
        <w:rPr>
          <w:rFonts w:ascii="Arial" w:cs="Arial" w:eastAsia="Arial" w:hAnsi="Arial"/>
          <w:sz w:val="18"/>
          <w:szCs w:val="18"/>
          <w:color w:val="auto"/>
        </w:rPr>
        <w:t>” means NXP Semiconductors N.V., a public company with limited liability incorporated under the laws of The Netherlands, and its successors.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Indentures</w:t>
      </w:r>
      <w:r>
        <w:rPr>
          <w:rFonts w:ascii="Arial" w:cs="Arial" w:eastAsia="Arial" w:hAnsi="Arial"/>
          <w:sz w:val="18"/>
          <w:szCs w:val="18"/>
          <w:color w:val="auto"/>
        </w:rPr>
        <w:t>” means, collectively, the NXP February 2013 Indenture, the NXP March 2013 Indenture, the NXP May 2013 Indenture and the NXP September 2013 Indenture.</w:t>
      </w:r>
    </w:p>
    <w:p>
      <w:pPr>
        <w:spacing w:after="0" w:line="170"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March 2013 Indenture</w:t>
      </w:r>
      <w:r>
        <w:rPr>
          <w:rFonts w:ascii="Arial" w:cs="Arial" w:eastAsia="Arial" w:hAnsi="Arial"/>
          <w:sz w:val="18"/>
          <w:szCs w:val="18"/>
          <w:color w:val="auto"/>
        </w:rPr>
        <w:t>” means the indenture dated March 12, 2013, among, inter alios, the Company, the NXP Notes Co-Issuer, the guarantors listed therein and Deutsche Bank Trust Company Americas, as trustee, as amended from time to time.</w:t>
      </w:r>
    </w:p>
    <w:p>
      <w:pPr>
        <w:spacing w:after="0" w:line="170"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March 2013 Notes</w:t>
      </w:r>
      <w:r>
        <w:rPr>
          <w:rFonts w:ascii="Arial" w:cs="Arial" w:eastAsia="Arial" w:hAnsi="Arial"/>
          <w:sz w:val="18"/>
          <w:szCs w:val="18"/>
          <w:color w:val="auto"/>
        </w:rPr>
        <w:t>” means the $500 million in aggregate principal amount of 5.75% senior unsecured notes due 2023 issued by the Company and the NXP Notes Co-Issuer on March 12, 2013 pursuant to the NXP March 2013 Indenture.</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May 2013 Indenture</w:t>
      </w:r>
      <w:r>
        <w:rPr>
          <w:rFonts w:ascii="Arial" w:cs="Arial" w:eastAsia="Arial" w:hAnsi="Arial"/>
          <w:sz w:val="18"/>
          <w:szCs w:val="18"/>
          <w:color w:val="auto"/>
        </w:rPr>
        <w:t>” means the indenture dated May 20, 2013, among, inter alios, the Company, the NXP Notes Co-Issuer, the guarantors listed therein and Deutsche Bank Trust Company Americas, as trustee, as amended from time to time.</w:t>
      </w:r>
    </w:p>
    <w:p>
      <w:pPr>
        <w:spacing w:after="0" w:line="170"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May 2013 Notes</w:t>
      </w:r>
      <w:r>
        <w:rPr>
          <w:rFonts w:ascii="Arial" w:cs="Arial" w:eastAsia="Arial" w:hAnsi="Arial"/>
          <w:sz w:val="18"/>
          <w:szCs w:val="18"/>
          <w:color w:val="auto"/>
        </w:rPr>
        <w:t>” means the $750 million in aggregate principal amount of 3.75% senior unsecured notes due 2018 issued by the Company and the NXP Notes Co-Issuer on May 20, 2013 pursuant to the NXP May 2013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Measurement Date</w:t>
      </w:r>
      <w:r>
        <w:rPr>
          <w:rFonts w:ascii="Arial" w:cs="Arial" w:eastAsia="Arial" w:hAnsi="Arial"/>
          <w:sz w:val="18"/>
          <w:szCs w:val="18"/>
          <w:color w:val="auto"/>
        </w:rPr>
        <w:t>” means January 1, 2013.</w:t>
      </w:r>
    </w:p>
    <w:p>
      <w:pPr>
        <w:spacing w:after="0" w:line="225" w:lineRule="exact"/>
        <w:rPr>
          <w:sz w:val="20"/>
          <w:szCs w:val="20"/>
          <w:color w:val="auto"/>
        </w:rPr>
      </w:pPr>
    </w:p>
    <w:p>
      <w:pPr>
        <w:ind w:right="7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Notes</w:t>
      </w:r>
      <w:r>
        <w:rPr>
          <w:rFonts w:ascii="Arial" w:cs="Arial" w:eastAsia="Arial" w:hAnsi="Arial"/>
          <w:sz w:val="18"/>
          <w:szCs w:val="18"/>
          <w:color w:val="auto"/>
        </w:rPr>
        <w:t>” means, collectively, the NXP February 2013 Notes, the NXP March 2013 Notes, the NXP May 2013 Notes and the NXP September 2013 Notes.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NXP Notes Co-Issuer</w:t>
      </w:r>
      <w:r>
        <w:rPr>
          <w:rFonts w:ascii="Arial" w:cs="Arial" w:eastAsia="Arial" w:hAnsi="Arial"/>
          <w:sz w:val="16"/>
          <w:szCs w:val="16"/>
          <w:color w:val="auto"/>
        </w:rPr>
        <w:t>” means NXP Funding LLC, a company with limited liability incoporated under the laws of Delaware, and its successors.</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Original Issue Date</w:t>
      </w:r>
      <w:r>
        <w:rPr>
          <w:rFonts w:ascii="Arial" w:cs="Arial" w:eastAsia="Arial" w:hAnsi="Arial"/>
          <w:sz w:val="18"/>
          <w:szCs w:val="18"/>
          <w:color w:val="auto"/>
        </w:rPr>
        <w:t>” means October 12, 2006.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26" w:name="page227"/>
    <w:bookmarkEnd w:id="226"/>
    <w:p>
      <w:pPr>
        <w:ind w:right="1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NXP September 2013 Indenture</w:t>
      </w:r>
      <w:r>
        <w:rPr>
          <w:rFonts w:ascii="Arial" w:cs="Arial" w:eastAsia="Arial" w:hAnsi="Arial"/>
          <w:sz w:val="18"/>
          <w:szCs w:val="18"/>
          <w:color w:val="auto"/>
        </w:rPr>
        <w:t>” means the indenture dated September 24, 2013, among, inter alios, the Company, the NXP Notes Co-Issuer, the guarantors listed therein and Deutsche Bank Trust Company Americas, as trustee, as amended from time to time.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NXP September 2013 Notes</w:t>
      </w:r>
      <w:r>
        <w:rPr>
          <w:rFonts w:ascii="Arial" w:cs="Arial" w:eastAsia="Arial" w:hAnsi="Arial"/>
          <w:sz w:val="18"/>
          <w:szCs w:val="18"/>
          <w:color w:val="auto"/>
        </w:rPr>
        <w:t>” means the $500 million in aggregate principal amount of 3.50% senior unsecured notes due 2016 issued by the Company and the NXP Notes Co-Issuer on September 24, 2013 pursuant to the NXP September 2013 Indenture.</w:t>
      </w:r>
    </w:p>
    <w:p>
      <w:pPr>
        <w:spacing w:after="0" w:line="17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any principal, interest (including any interest accruing on or subsequent to the filing of a petition in bankruptcy, reorganization or similar proceeding at the rate provided for in the documentation with respect thereto, whether or not such interest is an allowed claim under applicable state, federal or foreign law),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 Memorandum</w:t>
      </w:r>
      <w:r>
        <w:rPr>
          <w:rFonts w:ascii="Arial" w:cs="Arial" w:eastAsia="Arial" w:hAnsi="Arial"/>
          <w:sz w:val="17"/>
          <w:szCs w:val="17"/>
          <w:color w:val="auto"/>
        </w:rPr>
        <w:t>” means the confidential offering memorandum, dated October 28, 2013, relating to the sale of the Initial Notes.</w:t>
      </w:r>
    </w:p>
    <w:p>
      <w:pPr>
        <w:spacing w:after="0" w:line="237"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w:t>
      </w:r>
      <w:r>
        <w:rPr>
          <w:rFonts w:ascii="Arial" w:cs="Arial" w:eastAsia="Arial" w:hAnsi="Arial"/>
          <w:sz w:val="16"/>
          <w:szCs w:val="16"/>
          <w:color w:val="auto"/>
        </w:rPr>
        <w:t>” means the Chairman of the Board, the Chief Executive Officer, the President, any Executive Vice President, Senior Vice President or Vice President, the Treasurer or the Secretary of any Person. Unless otherwise indicated, Officer shall refer to an Officer of the Company.</w:t>
      </w:r>
    </w:p>
    <w:p>
      <w:pPr>
        <w:spacing w:after="0" w:line="124"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means a certificate signed on behalf of a Person by an Officer of such Person, who must be the principal executive officer, the principal financial officer, the treasurer or the principal accounting officer of such Person, that meets the requirements set forth in this Indenture.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Old Notes</w:t>
      </w:r>
      <w:r>
        <w:rPr>
          <w:rFonts w:ascii="Arial" w:cs="Arial" w:eastAsia="Arial" w:hAnsi="Arial"/>
          <w:sz w:val="18"/>
          <w:szCs w:val="18"/>
          <w:color w:val="auto"/>
        </w:rPr>
        <w:t>” means the 6.875% Senior Notes due 2011 issued by the Issuer and the 7.125% Notes due 2014 issued by the Issuer.</w:t>
      </w:r>
    </w:p>
    <w:p>
      <w:pPr>
        <w:spacing w:after="0" w:line="225"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from legal counsel who is acceptable to the Trustee. The counsel may be an employee of or counsel to the Company, the Issuer or the Trustee.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Guarantors</w:t>
      </w:r>
      <w:r>
        <w:rPr>
          <w:rFonts w:ascii="Arial" w:cs="Arial" w:eastAsia="Arial" w:hAnsi="Arial"/>
          <w:sz w:val="18"/>
          <w:szCs w:val="18"/>
          <w:color w:val="auto"/>
        </w:rPr>
        <w:t>” means the Company, Holdings I, Holdings II, Holdings III, Holdings IV and Holdings V.</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with respect to the Depositary a Person who has an account with the Depositary (and, with respect to DTC, shall include Euroclear and Clearstream).</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Asset Swap</w:t>
      </w:r>
      <w:r>
        <w:rPr>
          <w:rFonts w:ascii="Arial" w:cs="Arial" w:eastAsia="Arial" w:hAnsi="Arial"/>
          <w:sz w:val="18"/>
          <w:szCs w:val="18"/>
          <w:color w:val="auto"/>
        </w:rPr>
        <w:t xml:space="preserve">” means the substantially concurrent purchase and sale or exchange of Related Business Assets or a combination of Related Business Assets and cash or Cash Equivalents between the Company or any of its Restricted Subsidiaries and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any cash or Cash Equivalents received must be applied in accordance with Section 4.10 hereof.</w:t>
      </w:r>
    </w:p>
    <w:p>
      <w:pPr>
        <w:spacing w:after="0" w:line="181"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xml:space="preserve">” means each of the Investors and members of management of the Company or its direct or indirect parent companies on the Merger Date who are holders of Equity Interests of the Company (or any of its direct or indirect parent companies) and any group (within the meaning of Section 13(d)(3) or Section 14(d)(2) of the Exchange Act or any successor provision) of which any of the foregoing are members;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such group and without giving effect to the existence of such group or any other group, such Investors and members of management, collectively, have beneficial ownership of more than 50% of the total voting power of the Voting Stock of the Company or any of its direct or indirect parent companies.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227" w:name="page228"/>
    <w:bookmarkEnd w:id="22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Investment in the Company or any of its Restricted Subsidiaries;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Investment in cash and Cash Equivalents or Investment Grade Securities;</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Investment by the Company or any of its Restricted Subsidiaries in a Person that is engaged in a Similar Business if as a result of such Investment:</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such Person becomes a Restricted Subsidiary; or</w:t>
      </w:r>
    </w:p>
    <w:p>
      <w:pPr>
        <w:spacing w:after="0" w:line="117" w:lineRule="exact"/>
        <w:rPr>
          <w:rFonts w:ascii="Arial" w:cs="Arial" w:eastAsia="Arial" w:hAnsi="Arial"/>
          <w:sz w:val="18"/>
          <w:szCs w:val="18"/>
          <w:color w:val="auto"/>
        </w:rPr>
      </w:pPr>
    </w:p>
    <w:p>
      <w:pPr>
        <w:ind w:left="920" w:right="160" w:firstLine="421"/>
        <w:spacing w:after="0" w:line="277" w:lineRule="auto"/>
        <w:tabs>
          <w:tab w:leader="none" w:pos="1595" w:val="left"/>
        </w:tabs>
        <w:numPr>
          <w:ilvl w:val="1"/>
          <w:numId w:val="346"/>
        </w:numPr>
        <w:rPr>
          <w:rFonts w:ascii="Arial" w:cs="Arial" w:eastAsia="Arial" w:hAnsi="Arial"/>
          <w:sz w:val="18"/>
          <w:szCs w:val="18"/>
          <w:color w:val="auto"/>
        </w:rPr>
      </w:pPr>
      <w:r>
        <w:rPr>
          <w:rFonts w:ascii="Arial" w:cs="Arial" w:eastAsia="Arial" w:hAnsi="Arial"/>
          <w:sz w:val="18"/>
          <w:szCs w:val="18"/>
          <w:color w:val="auto"/>
        </w:rPr>
        <w:t>such Person, in one transaction or a series of related transactions, is merged, amalgamated or consolidated with or into, or transfers or conveys substantially all of its assets to, or is liquidated into, the Company or a Restricted Subsidiary,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and, in each case, any Investment held by such Person;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that such Investment was not acquired by such Person in contemplation of such acquisition, merger, consolidation or transfer;</w:t>
      </w:r>
    </w:p>
    <w:p>
      <w:pPr>
        <w:spacing w:after="0" w:line="62" w:lineRule="exact"/>
        <w:rPr>
          <w:sz w:val="20"/>
          <w:szCs w:val="20"/>
          <w:color w:val="auto"/>
        </w:rPr>
      </w:pPr>
    </w:p>
    <w:p>
      <w:pPr>
        <w:ind w:left="460" w:firstLine="443"/>
        <w:spacing w:after="0" w:line="264" w:lineRule="auto"/>
        <w:tabs>
          <w:tab w:leader="none" w:pos="115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Investment in securities or other assets not constituting cash, Cash Equivalents or Investment Grade Securities and received in connection with an Asset Sale made pursuant to the provisions described under Section 4.10 hereof or any other disposition of assets not constituting an Asset Sale;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Investment existing on the NXP Measurement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Investment acquired by the Company or any of its Restricted Subsidiaries:</w:t>
      </w:r>
    </w:p>
    <w:p>
      <w:pPr>
        <w:spacing w:after="0" w:line="117" w:lineRule="exact"/>
        <w:rPr>
          <w:rFonts w:ascii="Arial" w:cs="Arial" w:eastAsia="Arial" w:hAnsi="Arial"/>
          <w:sz w:val="18"/>
          <w:szCs w:val="18"/>
          <w:color w:val="auto"/>
        </w:rPr>
      </w:pPr>
    </w:p>
    <w:p>
      <w:pPr>
        <w:jc w:val="both"/>
        <w:ind w:left="920" w:right="20" w:firstLine="421"/>
        <w:spacing w:after="0" w:line="264" w:lineRule="auto"/>
        <w:tabs>
          <w:tab w:leader="none" w:pos="1585"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in exchange for any other Investment or accounts receivable held by the Company or any such Restricted Subsidiary in connection with or as a result of a bankruptcy, workout, reorganization or recapitalization of the issuer of such other Investment or accounts receivable (including any trade creditor or customer); or</w:t>
      </w:r>
    </w:p>
    <w:p>
      <w:pPr>
        <w:spacing w:after="0" w:line="73" w:lineRule="exact"/>
        <w:rPr>
          <w:rFonts w:ascii="Arial" w:cs="Arial" w:eastAsia="Arial" w:hAnsi="Arial"/>
          <w:sz w:val="18"/>
          <w:szCs w:val="18"/>
          <w:color w:val="auto"/>
        </w:rPr>
      </w:pPr>
    </w:p>
    <w:p>
      <w:pPr>
        <w:ind w:left="920" w:firstLine="421"/>
        <w:spacing w:after="0" w:line="277" w:lineRule="auto"/>
        <w:tabs>
          <w:tab w:leader="none" w:pos="1595"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as a result of a foreclosure by the Company or any of its Restricted Subsidiaries with respect to any secured Investment or other transfer of title with respect to any secured Investment in default;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Hedging Obligations permitted under clause (10) of Section 4.09(b) hereof;</w:t>
      </w:r>
    </w:p>
    <w:p>
      <w:pPr>
        <w:spacing w:after="0" w:line="117" w:lineRule="exact"/>
        <w:rPr>
          <w:rFonts w:ascii="Arial" w:cs="Arial" w:eastAsia="Arial" w:hAnsi="Arial"/>
          <w:sz w:val="18"/>
          <w:szCs w:val="18"/>
          <w:color w:val="auto"/>
        </w:rPr>
      </w:pPr>
    </w:p>
    <w:p>
      <w:pPr>
        <w:jc w:val="both"/>
        <w:ind w:left="460" w:right="160" w:firstLine="443"/>
        <w:spacing w:after="0" w:line="312" w:lineRule="auto"/>
        <w:tabs>
          <w:tab w:leader="none" w:pos="1153"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any Investment in a Similar Business having an aggregate fair market value, taken together with all other Investments made pursuant to this clause (8) after the NXP Measurement Date that are at that time outstanding, not to exceed 3.5% of Total Assets at the time of such Investment (with the fair market value of each Investment being measured at the time made and without giving effect to subsequent changes in value);</w:t>
      </w:r>
    </w:p>
    <w:p>
      <w:pPr>
        <w:spacing w:after="0" w:line="38" w:lineRule="exact"/>
        <w:rPr>
          <w:rFonts w:ascii="Arial" w:cs="Arial" w:eastAsia="Arial" w:hAnsi="Arial"/>
          <w:sz w:val="16"/>
          <w:szCs w:val="16"/>
          <w:color w:val="auto"/>
        </w:rPr>
      </w:pPr>
    </w:p>
    <w:p>
      <w:pPr>
        <w:jc w:val="both"/>
        <w:ind w:left="460" w:right="460" w:firstLine="443"/>
        <w:spacing w:after="0" w:line="264" w:lineRule="auto"/>
        <w:tabs>
          <w:tab w:leader="none" w:pos="115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(exclusive of Disqualified Stock) of the Company, or any of its direct or indirect parent companies;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Equity Interests will not increase the amount available for Restricted Payments under clause (3) of Section 4.07(a) hereof;</w:t>
      </w:r>
    </w:p>
    <w:p>
      <w:pPr>
        <w:spacing w:after="0" w:line="73" w:lineRule="exact"/>
        <w:rPr>
          <w:rFonts w:ascii="Arial" w:cs="Arial" w:eastAsia="Arial" w:hAnsi="Arial"/>
          <w:sz w:val="18"/>
          <w:szCs w:val="18"/>
          <w:color w:val="auto"/>
        </w:rPr>
      </w:pPr>
    </w:p>
    <w:p>
      <w:pPr>
        <w:ind w:left="1240" w:hanging="337"/>
        <w:spacing w:after="0"/>
        <w:tabs>
          <w:tab w:leader="none" w:pos="12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guarantees of Indebtedness permitted under Section 4.09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28" w:name="page229"/>
    <w:bookmarkEnd w:id="228"/>
    <w:p>
      <w:pPr>
        <w:ind w:right="320" w:firstLine="443"/>
        <w:spacing w:after="0" w:line="277" w:lineRule="auto"/>
        <w:tabs>
          <w:tab w:leader="none" w:pos="776" w:val="left"/>
        </w:tabs>
        <w:numPr>
          <w:ilvl w:val="1"/>
          <w:numId w:val="3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transaction to the extent it constitutes an Investment that is permitted and made in accordance with the provisions of Section 4.11(b) hereof (except transactions described in clauses (2), (5) and (9) of Section 4.11(b) hereof);</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or equipment;</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additional Investments having an aggregate fair market value, taken together with all other Investments made pursuant to this clause</w:t>
      </w:r>
    </w:p>
    <w:p>
      <w:pPr>
        <w:spacing w:after="0" w:line="34" w:lineRule="exact"/>
        <w:rPr>
          <w:rFonts w:ascii="Arial" w:cs="Arial" w:eastAsia="Arial" w:hAnsi="Arial"/>
          <w:sz w:val="17"/>
          <w:szCs w:val="17"/>
          <w:color w:val="auto"/>
        </w:rPr>
      </w:pPr>
    </w:p>
    <w:p>
      <w:pPr>
        <w:ind w:right="100" w:firstLine="4"/>
        <w:spacing w:after="0" w:line="302" w:lineRule="auto"/>
        <w:tabs>
          <w:tab w:leader="none" w:pos="34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after the NXP Measurement Date that are at that time outstanding (without giving effect to the sale of an Unrestricted Subsidiary to the extent the proceeds of such sale do not consist of cash or marketable securities), not to exceed 4.0% of Total Assets at the time of such Investment (with the fair market value of each Investment being measured at the time made and without giving effect to subsequent changes in value);</w:t>
      </w:r>
    </w:p>
    <w:p>
      <w:pPr>
        <w:spacing w:after="0" w:line="47" w:lineRule="exact"/>
        <w:rPr>
          <w:rFonts w:ascii="Arial" w:cs="Arial" w:eastAsia="Arial" w:hAnsi="Arial"/>
          <w:sz w:val="16"/>
          <w:szCs w:val="16"/>
          <w:color w:val="auto"/>
        </w:rPr>
      </w:pPr>
    </w:p>
    <w:p>
      <w:pPr>
        <w:ind w:right="160" w:firstLine="443"/>
        <w:spacing w:after="0" w:line="277" w:lineRule="auto"/>
        <w:tabs>
          <w:tab w:leader="none" w:pos="783"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Investments in or relating to a Securitization Subsidiary that, in the good faith determination of the Company are necessary or advisable to effect any Qualified Securitization Facility or any repurchase obligation in connection therewith;</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advances to, or guarantees of Indebtedness of, employees not in excess of $25.0 million outstanding at any one time, in the aggregate;</w:t>
      </w:r>
    </w:p>
    <w:p>
      <w:pPr>
        <w:spacing w:after="0" w:line="140" w:lineRule="exact"/>
        <w:rPr>
          <w:rFonts w:ascii="Arial" w:cs="Arial" w:eastAsia="Arial" w:hAnsi="Arial"/>
          <w:sz w:val="16"/>
          <w:szCs w:val="16"/>
          <w:color w:val="auto"/>
        </w:rPr>
      </w:pPr>
    </w:p>
    <w:p>
      <w:pPr>
        <w:ind w:firstLine="443"/>
        <w:spacing w:after="0" w:line="264" w:lineRule="auto"/>
        <w:tabs>
          <w:tab w:leader="none" w:pos="783" w:val="left"/>
        </w:tabs>
        <w:numPr>
          <w:ilvl w:val="1"/>
          <w:numId w:val="349"/>
        </w:numPr>
        <w:rPr>
          <w:rFonts w:ascii="Arial" w:cs="Arial" w:eastAsia="Arial" w:hAnsi="Arial"/>
          <w:sz w:val="18"/>
          <w:szCs w:val="18"/>
          <w:color w:val="auto"/>
        </w:rPr>
      </w:pPr>
      <w:r>
        <w:rPr>
          <w:rFonts w:ascii="Arial" w:cs="Arial" w:eastAsia="Arial" w:hAnsi="Arial"/>
          <w:sz w:val="18"/>
          <w:szCs w:val="18"/>
          <w:color w:val="auto"/>
        </w:rPr>
        <w:t>loans and advances to officers, directors and employees for business-related travel expenses, moving expenses and other similar expenses, in each case incurred in the ordinary course of business or consistent with past practices or to fund such Person’s purchase of Equity Interests of the Company or any direct or indirect parent company thereof;</w:t>
      </w:r>
    </w:p>
    <w:p>
      <w:pPr>
        <w:spacing w:after="0" w:line="73" w:lineRule="exact"/>
        <w:rPr>
          <w:rFonts w:ascii="Arial" w:cs="Arial" w:eastAsia="Arial" w:hAnsi="Arial"/>
          <w:sz w:val="18"/>
          <w:szCs w:val="18"/>
          <w:color w:val="auto"/>
        </w:rPr>
      </w:pPr>
    </w:p>
    <w:p>
      <w:pPr>
        <w:ind w:left="780" w:hanging="337"/>
        <w:spacing w:after="0"/>
        <w:tabs>
          <w:tab w:leader="none" w:pos="78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advances, loans or extensions of trade credit in the ordinary course of business by the Company or any of its Restricted Subsidiaries; and</w:t>
      </w:r>
    </w:p>
    <w:p>
      <w:pPr>
        <w:spacing w:after="0" w:line="140" w:lineRule="exact"/>
        <w:rPr>
          <w:rFonts w:ascii="Arial" w:cs="Arial" w:eastAsia="Arial" w:hAnsi="Arial"/>
          <w:sz w:val="16"/>
          <w:szCs w:val="16"/>
          <w:color w:val="auto"/>
        </w:rPr>
      </w:pPr>
    </w:p>
    <w:p>
      <w:pPr>
        <w:jc w:val="both"/>
        <w:ind w:right="20" w:firstLine="443"/>
        <w:spacing w:after="0" w:line="302" w:lineRule="auto"/>
        <w:tabs>
          <w:tab w:leader="none" w:pos="783" w:val="left"/>
        </w:tabs>
        <w:numPr>
          <w:ilvl w:val="1"/>
          <w:numId w:val="349"/>
        </w:numPr>
        <w:rPr>
          <w:rFonts w:ascii="Arial" w:cs="Arial" w:eastAsia="Arial" w:hAnsi="Arial"/>
          <w:sz w:val="16"/>
          <w:szCs w:val="16"/>
          <w:color w:val="auto"/>
        </w:rPr>
      </w:pPr>
      <w:r>
        <w:rPr>
          <w:rFonts w:ascii="Arial" w:cs="Arial" w:eastAsia="Arial" w:hAnsi="Arial"/>
          <w:sz w:val="16"/>
          <w:szCs w:val="16"/>
          <w:color w:val="auto"/>
        </w:rPr>
        <w:t xml:space="preserve">Investments in or with respect to the Issuer’s jointly funded alliance with respect to the 300 millimeter wafer fabrication in Crolles, France, as in effect on the Issue Date, and any amendment, modification or restructuring thereof, or any successor or replacement alliance or arrangement with respect thereto, or any additional alliance or arrangement with respect to 300 millimeter or larger wafer fabrication (in each case whether or not located in Crolles, France);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fair market value of any such Investments in any calendar year shall not exceed an amount equal to:</w:t>
      </w:r>
    </w:p>
    <w:p>
      <w:pPr>
        <w:spacing w:after="0" w:line="46" w:lineRule="exact"/>
        <w:rPr>
          <w:rFonts w:ascii="Arial" w:cs="Arial" w:eastAsia="Arial" w:hAnsi="Arial"/>
          <w:sz w:val="16"/>
          <w:szCs w:val="16"/>
          <w:color w:val="auto"/>
        </w:rPr>
      </w:pPr>
    </w:p>
    <w:p>
      <w:pPr>
        <w:ind w:left="460" w:right="520" w:firstLine="421"/>
        <w:spacing w:after="0" w:line="277" w:lineRule="auto"/>
        <w:tabs>
          <w:tab w:leader="none" w:pos="1125" w:val="left"/>
        </w:tabs>
        <w:numPr>
          <w:ilvl w:val="2"/>
          <w:numId w:val="349"/>
        </w:numPr>
        <w:rPr>
          <w:rFonts w:ascii="Arial" w:cs="Arial" w:eastAsia="Arial" w:hAnsi="Arial"/>
          <w:sz w:val="18"/>
          <w:szCs w:val="18"/>
          <w:color w:val="auto"/>
        </w:rPr>
      </w:pPr>
      <w:r>
        <w:rPr>
          <w:rFonts w:ascii="Arial" w:cs="Arial" w:eastAsia="Arial" w:hAnsi="Arial"/>
          <w:sz w:val="18"/>
          <w:szCs w:val="18"/>
          <w:color w:val="auto"/>
        </w:rPr>
        <w:t>$150.0 million, with unused amounts in any calendar year being carried over to succeeding calendar years subject to a maximum carryover of $250.0 million; plus</w:t>
      </w:r>
    </w:p>
    <w:p>
      <w:pPr>
        <w:spacing w:after="0" w:line="62" w:lineRule="exact"/>
        <w:rPr>
          <w:rFonts w:ascii="Arial" w:cs="Arial" w:eastAsia="Arial" w:hAnsi="Arial"/>
          <w:sz w:val="18"/>
          <w:szCs w:val="18"/>
          <w:color w:val="auto"/>
        </w:rPr>
      </w:pPr>
    </w:p>
    <w:p>
      <w:pPr>
        <w:ind w:left="460" w:right="20" w:firstLine="421"/>
        <w:spacing w:after="0" w:line="264" w:lineRule="auto"/>
        <w:tabs>
          <w:tab w:leader="none" w:pos="1135" w:val="left"/>
        </w:tabs>
        <w:numPr>
          <w:ilvl w:val="2"/>
          <w:numId w:val="349"/>
        </w:numPr>
        <w:rPr>
          <w:rFonts w:ascii="Arial" w:cs="Arial" w:eastAsia="Arial" w:hAnsi="Arial"/>
          <w:sz w:val="18"/>
          <w:szCs w:val="18"/>
          <w:color w:val="auto"/>
        </w:rPr>
      </w:pPr>
      <w:r>
        <w:rPr>
          <w:rFonts w:ascii="Arial" w:cs="Arial" w:eastAsia="Arial" w:hAnsi="Arial"/>
          <w:sz w:val="18"/>
          <w:szCs w:val="18"/>
          <w:color w:val="auto"/>
        </w:rPr>
        <w:t xml:space="preserve">the amount of 300 Millimeter Asset Sale Proceeds received during such calendar year, with unused 300 Millimeter Asset Sale Proceeds in any calendar year being carried over to succeeding calendar years without any maximum carryover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Investments made pursuant to this clause (b) shall not exceed $500.0 million; minus</w:t>
      </w:r>
    </w:p>
    <w:p>
      <w:pPr>
        <w:spacing w:after="0" w:line="73" w:lineRule="exact"/>
        <w:rPr>
          <w:rFonts w:ascii="Arial" w:cs="Arial" w:eastAsia="Arial" w:hAnsi="Arial"/>
          <w:sz w:val="18"/>
          <w:szCs w:val="18"/>
          <w:color w:val="auto"/>
        </w:rPr>
      </w:pPr>
    </w:p>
    <w:p>
      <w:pPr>
        <w:ind w:left="460" w:firstLine="421"/>
        <w:spacing w:after="0" w:line="259" w:lineRule="auto"/>
        <w:tabs>
          <w:tab w:leader="none" w:pos="1125" w:val="left"/>
        </w:tabs>
        <w:numPr>
          <w:ilvl w:val="2"/>
          <w:numId w:val="349"/>
        </w:numPr>
        <w:rPr>
          <w:rFonts w:ascii="Arial" w:cs="Arial" w:eastAsia="Arial" w:hAnsi="Arial"/>
          <w:sz w:val="18"/>
          <w:szCs w:val="18"/>
          <w:color w:val="auto"/>
        </w:rPr>
      </w:pPr>
      <w:r>
        <w:rPr>
          <w:rFonts w:ascii="Arial" w:cs="Arial" w:eastAsia="Arial" w:hAnsi="Arial"/>
          <w:sz w:val="18"/>
          <w:szCs w:val="18"/>
          <w:color w:val="auto"/>
        </w:rPr>
        <w:t>the amount of 300 Millimeter R&amp;D Expenses incurred during such calendar year that is added back to Consolidated Net Income of the Company with respect to such calendar year in arriving at EBITDA of the Company with respect to such calendar year (including with respect to such calendar year reducing the amounts available under the immediately preceding clauses (a) and (b), as applicable, for carryovers to succeeding calendar years).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700" w:top="274" w:right="279" w:bottom="1440" w:gutter="0" w:footer="0" w:header="0"/>
        </w:sectPr>
      </w:pPr>
    </w:p>
    <w:bookmarkStart w:id="229" w:name="page230"/>
    <w:bookmarkEnd w:id="2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firstLine="443"/>
        <w:spacing w:after="0" w:line="257" w:lineRule="auto"/>
        <w:tabs>
          <w:tab w:leader="none" w:pos="6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w:t>
      </w:r>
    </w:p>
    <w:p>
      <w:pPr>
        <w:spacing w:after="0" w:line="80" w:lineRule="exact"/>
        <w:rPr>
          <w:rFonts w:ascii="Arial" w:cs="Arial" w:eastAsia="Arial" w:hAnsi="Arial"/>
          <w:sz w:val="18"/>
          <w:szCs w:val="18"/>
          <w:color w:val="auto"/>
        </w:rPr>
      </w:pPr>
    </w:p>
    <w:p>
      <w:pPr>
        <w:jc w:val="both"/>
        <w:ind w:right="220" w:firstLine="443"/>
        <w:spacing w:after="0" w:line="259" w:lineRule="auto"/>
        <w:tabs>
          <w:tab w:leader="none" w:pos="6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in each case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78" w:lineRule="exact"/>
        <w:rPr>
          <w:rFonts w:ascii="Arial" w:cs="Arial" w:eastAsia="Arial" w:hAnsi="Arial"/>
          <w:sz w:val="18"/>
          <w:szCs w:val="18"/>
          <w:color w:val="auto"/>
        </w:rPr>
      </w:pPr>
    </w:p>
    <w:p>
      <w:pPr>
        <w:ind w:right="60" w:firstLine="443"/>
        <w:spacing w:after="0" w:line="264" w:lineRule="auto"/>
        <w:tabs>
          <w:tab w:leader="none" w:pos="6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payable or subject to penalties for nonpayment or which are being contested in good faith by appropriate proceedings diligently conducted, if adequate reserves with respect thereto are maintained on the books of such Person in accordance with GAAP;</w:t>
      </w:r>
    </w:p>
    <w:p>
      <w:pPr>
        <w:spacing w:after="0" w:line="73" w:lineRule="exact"/>
        <w:rPr>
          <w:rFonts w:ascii="Arial" w:cs="Arial" w:eastAsia="Arial" w:hAnsi="Arial"/>
          <w:sz w:val="18"/>
          <w:szCs w:val="18"/>
          <w:color w:val="auto"/>
        </w:rPr>
      </w:pPr>
    </w:p>
    <w:p>
      <w:pPr>
        <w:ind w:right="340" w:firstLine="443"/>
        <w:spacing w:after="0" w:line="277" w:lineRule="auto"/>
        <w:tabs>
          <w:tab w:leader="none" w:pos="6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Liens in favor of issuers of performance and surety bonds or bid bonds or with respect to other regulatory requirements or letters of credit issued pursuant to the request of and for the account of such Person in the ordinary course of its business;</w:t>
      </w:r>
    </w:p>
    <w:p>
      <w:pPr>
        <w:spacing w:after="0" w:line="62" w:lineRule="exact"/>
        <w:rPr>
          <w:rFonts w:ascii="Arial" w:cs="Arial" w:eastAsia="Arial" w:hAnsi="Arial"/>
          <w:sz w:val="18"/>
          <w:szCs w:val="18"/>
          <w:color w:val="auto"/>
        </w:rPr>
      </w:pPr>
    </w:p>
    <w:p>
      <w:pPr>
        <w:ind w:right="80" w:firstLine="443"/>
        <w:spacing w:after="0" w:line="302" w:lineRule="auto"/>
        <w:tabs>
          <w:tab w:leader="none" w:pos="693" w:val="left"/>
        </w:tabs>
        <w:numPr>
          <w:ilvl w:val="0"/>
          <w:numId w:val="350"/>
        </w:numPr>
        <w:rPr>
          <w:rFonts w:ascii="Arial" w:cs="Arial" w:eastAsia="Arial" w:hAnsi="Arial"/>
          <w:sz w:val="16"/>
          <w:szCs w:val="16"/>
          <w:color w:val="auto"/>
        </w:rPr>
      </w:pPr>
      <w:r>
        <w:rPr>
          <w:rFonts w:ascii="Arial" w:cs="Arial" w:eastAsia="Arial" w:hAnsi="Arial"/>
          <w:sz w:val="16"/>
          <w:szCs w:val="16"/>
          <w:color w:val="auto"/>
        </w:rPr>
        <w:t>minor survey exceptions, minor encumbrances, easements or reservations of, or rights of others for, licenses, rights-of-way, sewers, electric lines, telegraph and telephone lines and other similar purposes,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46" w:lineRule="exact"/>
        <w:rPr>
          <w:rFonts w:ascii="Arial" w:cs="Arial" w:eastAsia="Arial" w:hAnsi="Arial"/>
          <w:sz w:val="16"/>
          <w:szCs w:val="16"/>
          <w:color w:val="auto"/>
        </w:rPr>
      </w:pPr>
    </w:p>
    <w:p>
      <w:pPr>
        <w:ind w:left="700" w:hanging="257"/>
        <w:spacing w:after="0"/>
        <w:tabs>
          <w:tab w:leader="none" w:pos="7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Liens securing Credit Facilities Obligations permitted to be incurred pursuant to clause (1) of Section 4.09(b);</w:t>
      </w:r>
    </w:p>
    <w:p>
      <w:pPr>
        <w:spacing w:after="0" w:line="117" w:lineRule="exact"/>
        <w:rPr>
          <w:rFonts w:ascii="Arial" w:cs="Arial" w:eastAsia="Arial" w:hAnsi="Arial"/>
          <w:sz w:val="18"/>
          <w:szCs w:val="18"/>
          <w:color w:val="auto"/>
        </w:rPr>
      </w:pPr>
    </w:p>
    <w:p>
      <w:pPr>
        <w:ind w:right="320" w:firstLine="443"/>
        <w:spacing w:after="0" w:line="277" w:lineRule="auto"/>
        <w:tabs>
          <w:tab w:leader="none" w:pos="6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Liens securing Credit Facilities Obligations permitted to be incurred pursuant to Section 4.09;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incurrence, and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thereto, the Consolidated Secured Debt Ratio would be no greater than 3.25 to 1.00;</w:t>
      </w:r>
    </w:p>
    <w:p>
      <w:pPr>
        <w:spacing w:after="0" w:line="62" w:lineRule="exact"/>
        <w:rPr>
          <w:rFonts w:ascii="Arial" w:cs="Arial" w:eastAsia="Arial" w:hAnsi="Arial"/>
          <w:sz w:val="18"/>
          <w:szCs w:val="18"/>
          <w:color w:val="auto"/>
        </w:rPr>
      </w:pPr>
    </w:p>
    <w:p>
      <w:pPr>
        <w:ind w:right="320" w:firstLine="443"/>
        <w:spacing w:after="0" w:line="277" w:lineRule="auto"/>
        <w:tabs>
          <w:tab w:leader="none" w:pos="6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Liens securing the Notes, any Guarantee of the Notes and other Obligations under the Notes and this Indenture (other than any Additional Notes, any Guarantees of any Additional Notes or other Obligations under any Additional Notes);</w:t>
      </w:r>
    </w:p>
    <w:p>
      <w:pPr>
        <w:spacing w:after="0" w:line="62" w:lineRule="exact"/>
        <w:rPr>
          <w:rFonts w:ascii="Arial" w:cs="Arial" w:eastAsia="Arial" w:hAnsi="Arial"/>
          <w:sz w:val="18"/>
          <w:szCs w:val="18"/>
          <w:color w:val="auto"/>
        </w:rPr>
      </w:pPr>
    </w:p>
    <w:p>
      <w:pPr>
        <w:ind w:right="200" w:firstLine="443"/>
        <w:spacing w:after="0" w:line="312" w:lineRule="auto"/>
        <w:tabs>
          <w:tab w:leader="none" w:pos="693" w:val="left"/>
        </w:tabs>
        <w:numPr>
          <w:ilvl w:val="0"/>
          <w:numId w:val="350"/>
        </w:numPr>
        <w:rPr>
          <w:rFonts w:ascii="Arial" w:cs="Arial" w:eastAsia="Arial" w:hAnsi="Arial"/>
          <w:sz w:val="16"/>
          <w:szCs w:val="16"/>
          <w:color w:val="auto"/>
        </w:rPr>
      </w:pPr>
      <w:r>
        <w:rPr>
          <w:rFonts w:ascii="Arial" w:cs="Arial" w:eastAsia="Arial" w:hAnsi="Arial"/>
          <w:sz w:val="16"/>
          <w:szCs w:val="16"/>
          <w:color w:val="auto"/>
        </w:rPr>
        <w:t>Liens securing the Existing Secured Notes, any Guarantee of the Existing Secured Notes and other obligations under the Existing Secured Notes, and the indenture governing the Existing Secured Notes (other than any Existing Secured Notes issued after the Issue Date, any Guarantees of any Existing Secured Notes issued after the Issue Date or other Obligations under any Existing Secured Notes issued after the Issue Date);</w:t>
      </w:r>
    </w:p>
    <w:p>
      <w:pPr>
        <w:spacing w:after="0" w:line="38" w:lineRule="exact"/>
        <w:rPr>
          <w:rFonts w:ascii="Arial" w:cs="Arial" w:eastAsia="Arial" w:hAnsi="Arial"/>
          <w:sz w:val="16"/>
          <w:szCs w:val="16"/>
          <w:color w:val="auto"/>
        </w:rPr>
      </w:pPr>
    </w:p>
    <w:p>
      <w:pPr>
        <w:ind w:left="780" w:hanging="337"/>
        <w:spacing w:after="0"/>
        <w:tabs>
          <w:tab w:leader="none" w:pos="7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Liens securing Indebtedness permitted to be incurred pursuant to clause (4) or (12)(b) of Section 4.09(b) hereof;</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74" w:right="259" w:bottom="1440" w:gutter="0" w:footer="0" w:header="0"/>
        </w:sectPr>
      </w:pPr>
    </w:p>
    <w:bookmarkStart w:id="230" w:name="page231"/>
    <w:bookmarkEnd w:id="230"/>
    <w:p>
      <w:pPr>
        <w:ind w:left="780" w:hanging="337"/>
        <w:spacing w:after="0"/>
        <w:tabs>
          <w:tab w:leader="none" w:pos="7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existing on the Issue Date and the Merger Date (including the Liens granted pursuant to Section 7.06 hereof);</w:t>
      </w:r>
    </w:p>
    <w:p>
      <w:pPr>
        <w:spacing w:after="0" w:line="117" w:lineRule="exact"/>
        <w:rPr>
          <w:rFonts w:ascii="Arial" w:cs="Arial" w:eastAsia="Arial" w:hAnsi="Arial"/>
          <w:sz w:val="18"/>
          <w:szCs w:val="18"/>
          <w:color w:val="auto"/>
        </w:rPr>
      </w:pPr>
    </w:p>
    <w:p>
      <w:pPr>
        <w:ind w:right="100" w:firstLine="443"/>
        <w:spacing w:after="0" w:line="286" w:lineRule="auto"/>
        <w:tabs>
          <w:tab w:leader="none" w:pos="783" w:val="left"/>
        </w:tabs>
        <w:numPr>
          <w:ilvl w:val="1"/>
          <w:numId w:val="351"/>
        </w:numPr>
        <w:rPr>
          <w:rFonts w:ascii="Arial" w:cs="Arial" w:eastAsia="Arial" w:hAnsi="Arial"/>
          <w:sz w:val="17"/>
          <w:szCs w:val="17"/>
          <w:color w:val="auto"/>
        </w:rPr>
      </w:pPr>
      <w:r>
        <w:rPr>
          <w:rFonts w:ascii="Arial" w:cs="Arial" w:eastAsia="Arial" w:hAnsi="Arial"/>
          <w:sz w:val="17"/>
          <w:szCs w:val="17"/>
          <w:color w:val="auto"/>
        </w:rPr>
        <w:t xml:space="preserve">Liens on property or shares of stock or other assets of a Person at the time such Person becomes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are not created or incurred in connection with, or in contemplation of, such other Person becoming such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Liens may not extend to any other property or other assets owned by the Company or any of its Restricted Subsidiaries;</w:t>
      </w:r>
    </w:p>
    <w:p>
      <w:pPr>
        <w:spacing w:after="0" w:line="57" w:lineRule="exact"/>
        <w:rPr>
          <w:rFonts w:ascii="Arial" w:cs="Arial" w:eastAsia="Arial" w:hAnsi="Arial"/>
          <w:sz w:val="17"/>
          <w:szCs w:val="17"/>
          <w:color w:val="auto"/>
        </w:rPr>
      </w:pPr>
    </w:p>
    <w:p>
      <w:pPr>
        <w:ind w:right="140" w:firstLine="443"/>
        <w:spacing w:after="0" w:line="279" w:lineRule="auto"/>
        <w:tabs>
          <w:tab w:leader="none" w:pos="783" w:val="left"/>
        </w:tabs>
        <w:numPr>
          <w:ilvl w:val="1"/>
          <w:numId w:val="351"/>
        </w:numPr>
        <w:rPr>
          <w:rFonts w:ascii="Arial" w:cs="Arial" w:eastAsia="Arial" w:hAnsi="Arial"/>
          <w:sz w:val="17"/>
          <w:szCs w:val="17"/>
          <w:color w:val="auto"/>
        </w:rPr>
      </w:pPr>
      <w:r>
        <w:rPr>
          <w:rFonts w:ascii="Arial" w:cs="Arial" w:eastAsia="Arial" w:hAnsi="Arial"/>
          <w:sz w:val="17"/>
          <w:szCs w:val="17"/>
          <w:color w:val="auto"/>
        </w:rPr>
        <w:t xml:space="preserve">Liens on property or other assets at the time the Company or a Restricted Subsidiary acquired the property or such other assets, including any acquisition by means of a merger, amalgamation or consolidation with or into the Company or any of its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are not created or incurred in connection with, or in contemplation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Liens may not extend to any other property owned by the Company or any of its Restricted Subsidiaries;</w:t>
      </w:r>
    </w:p>
    <w:p>
      <w:pPr>
        <w:spacing w:after="0" w:line="63" w:lineRule="exact"/>
        <w:rPr>
          <w:rFonts w:ascii="Arial" w:cs="Arial" w:eastAsia="Arial" w:hAnsi="Arial"/>
          <w:sz w:val="17"/>
          <w:szCs w:val="17"/>
          <w:color w:val="auto"/>
        </w:rPr>
      </w:pPr>
    </w:p>
    <w:p>
      <w:pPr>
        <w:ind w:right="660" w:firstLine="443"/>
        <w:spacing w:after="0" w:line="277" w:lineRule="auto"/>
        <w:tabs>
          <w:tab w:leader="none" w:pos="783" w:val="left"/>
        </w:tabs>
        <w:numPr>
          <w:ilvl w:val="1"/>
          <w:numId w:val="351"/>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Restricted Subsidiary owing to the Company or another Restricted Subsidiary permitted to be incurred in accordance with the Section 4.09;</w:t>
      </w:r>
    </w:p>
    <w:p>
      <w:pPr>
        <w:spacing w:after="0" w:line="62" w:lineRule="exact"/>
        <w:rPr>
          <w:rFonts w:ascii="Arial" w:cs="Arial" w:eastAsia="Arial" w:hAnsi="Arial"/>
          <w:sz w:val="18"/>
          <w:szCs w:val="18"/>
          <w:color w:val="auto"/>
        </w:rPr>
      </w:pPr>
    </w:p>
    <w:p>
      <w:pPr>
        <w:ind w:right="80" w:firstLine="443"/>
        <w:spacing w:after="0" w:line="277" w:lineRule="auto"/>
        <w:tabs>
          <w:tab w:leader="none" w:pos="783" w:val="left"/>
        </w:tabs>
        <w:numPr>
          <w:ilvl w:val="1"/>
          <w:numId w:val="351"/>
        </w:numPr>
        <w:rPr>
          <w:rFonts w:ascii="Arial" w:cs="Arial" w:eastAsia="Arial" w:hAnsi="Arial"/>
          <w:sz w:val="18"/>
          <w:szCs w:val="18"/>
          <w:color w:val="auto"/>
        </w:rPr>
      </w:pPr>
      <w:r>
        <w:rPr>
          <w:rFonts w:ascii="Arial" w:cs="Arial" w:eastAsia="Arial" w:hAnsi="Arial"/>
          <w:sz w:val="18"/>
          <w:szCs w:val="18"/>
          <w:color w:val="auto"/>
        </w:rPr>
        <w:t>Liens securing Hedging Obligations so long as related Indebtedness is, and is permitted to be under this Indenture, secured by a Lien on the same property securing such Hedging Obligations;</w:t>
      </w:r>
    </w:p>
    <w:p>
      <w:pPr>
        <w:spacing w:after="0" w:line="62" w:lineRule="exact"/>
        <w:rPr>
          <w:rFonts w:ascii="Arial" w:cs="Arial" w:eastAsia="Arial" w:hAnsi="Arial"/>
          <w:sz w:val="18"/>
          <w:szCs w:val="18"/>
          <w:color w:val="auto"/>
        </w:rPr>
      </w:pPr>
    </w:p>
    <w:p>
      <w:pPr>
        <w:ind w:right="300" w:firstLine="443"/>
        <w:spacing w:after="0" w:line="342" w:lineRule="auto"/>
        <w:tabs>
          <w:tab w:leader="none" w:pos="783" w:val="left"/>
        </w:tabs>
        <w:numPr>
          <w:ilvl w:val="1"/>
          <w:numId w:val="351"/>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5" w:lineRule="exact"/>
        <w:rPr>
          <w:rFonts w:ascii="Arial" w:cs="Arial" w:eastAsia="Arial" w:hAnsi="Arial"/>
          <w:sz w:val="16"/>
          <w:szCs w:val="16"/>
          <w:color w:val="auto"/>
        </w:rPr>
      </w:pPr>
    </w:p>
    <w:p>
      <w:pPr>
        <w:ind w:right="440" w:firstLine="443"/>
        <w:spacing w:after="0" w:line="308" w:lineRule="auto"/>
        <w:tabs>
          <w:tab w:leader="none" w:pos="783" w:val="left"/>
        </w:tabs>
        <w:numPr>
          <w:ilvl w:val="1"/>
          <w:numId w:val="351"/>
        </w:numPr>
        <w:rPr>
          <w:rFonts w:ascii="Arial" w:cs="Arial" w:eastAsia="Arial" w:hAnsi="Arial"/>
          <w:sz w:val="17"/>
          <w:szCs w:val="17"/>
          <w:color w:val="auto"/>
        </w:rPr>
      </w:pPr>
      <w:r>
        <w:rPr>
          <w:rFonts w:ascii="Arial" w:cs="Arial" w:eastAsia="Arial" w:hAnsi="Arial"/>
          <w:sz w:val="17"/>
          <w:szCs w:val="17"/>
          <w:color w:val="auto"/>
        </w:rPr>
        <w:t>leases, subleases, licenses or sublicenses granted to others in the ordinary course of business which do not materially interfere with the ordinary conduct of the business of the Company or any of its Restricted Subsidiaries and do not secure any Indebtedness;</w:t>
      </w:r>
    </w:p>
    <w:p>
      <w:pPr>
        <w:spacing w:after="0" w:line="38" w:lineRule="exact"/>
        <w:rPr>
          <w:rFonts w:ascii="Arial" w:cs="Arial" w:eastAsia="Arial" w:hAnsi="Arial"/>
          <w:sz w:val="17"/>
          <w:szCs w:val="17"/>
          <w:color w:val="auto"/>
        </w:rPr>
      </w:pPr>
    </w:p>
    <w:p>
      <w:pPr>
        <w:ind w:right="220" w:firstLine="443"/>
        <w:spacing w:after="0" w:line="277" w:lineRule="auto"/>
        <w:tabs>
          <w:tab w:leader="none" w:pos="783" w:val="left"/>
        </w:tabs>
        <w:numPr>
          <w:ilvl w:val="1"/>
          <w:numId w:val="351"/>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entered into by the Company and its Restricted Subsidiaries in the ordinary course of business;</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Liens in favor of the Company, the Issuer or any Subsidiary Guarantor;</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Liens on equipment of the Company or any of its Restricted Subsidiaries granted in the ordinary course of business to the Company’s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clients;</w:t>
      </w:r>
    </w:p>
    <w:p>
      <w:pPr>
        <w:spacing w:after="0" w:line="102" w:lineRule="exact"/>
        <w:rPr>
          <w:rFonts w:ascii="Arial" w:cs="Arial" w:eastAsia="Arial" w:hAnsi="Arial"/>
          <w:sz w:val="17"/>
          <w:szCs w:val="17"/>
          <w:color w:val="auto"/>
        </w:rPr>
      </w:pPr>
    </w:p>
    <w:p>
      <w:pPr>
        <w:ind w:left="780" w:hanging="337"/>
        <w:spacing w:after="0"/>
        <w:tabs>
          <w:tab w:leader="none" w:pos="78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Liens on accounts receivable, Securitization Assets and related assets incurred in connection with a Qualified Securitization Facility;</w:t>
      </w:r>
    </w:p>
    <w:p>
      <w:pPr>
        <w:spacing w:after="0" w:line="128" w:lineRule="exact"/>
        <w:rPr>
          <w:rFonts w:ascii="Arial" w:cs="Arial" w:eastAsia="Arial" w:hAnsi="Arial"/>
          <w:sz w:val="17"/>
          <w:szCs w:val="17"/>
          <w:color w:val="auto"/>
        </w:rPr>
      </w:pPr>
    </w:p>
    <w:p>
      <w:pPr>
        <w:ind w:right="40" w:firstLine="443"/>
        <w:spacing w:after="0" w:line="288" w:lineRule="auto"/>
        <w:tabs>
          <w:tab w:leader="none" w:pos="783" w:val="left"/>
        </w:tabs>
        <w:numPr>
          <w:ilvl w:val="1"/>
          <w:numId w:val="351"/>
        </w:numPr>
        <w:rPr>
          <w:rFonts w:ascii="Arial" w:cs="Arial" w:eastAsia="Arial" w:hAnsi="Arial"/>
          <w:sz w:val="16"/>
          <w:szCs w:val="16"/>
          <w:color w:val="auto"/>
        </w:rPr>
      </w:pPr>
      <w:r>
        <w:rPr>
          <w:rFonts w:ascii="Arial" w:cs="Arial" w:eastAsia="Arial" w:hAnsi="Arial"/>
          <w:sz w:val="16"/>
          <w:szCs w:val="16"/>
          <w:color w:val="auto"/>
        </w:rPr>
        <w:t xml:space="preserve">Liens to secure any refinancing, refunding, extension, renewal or replacement (or successive refinancing, refunding, extensions, renewals or replacements) as a whole, or in part, of any Indebtedness secured by any Lien referred to in the foregoing clauses (10), (11), (12) and (13); </w:t>
      </w:r>
      <w:r>
        <w:rPr>
          <w:rFonts w:ascii="Arial" w:cs="Arial" w:eastAsia="Arial" w:hAnsi="Arial"/>
          <w:sz w:val="16"/>
          <w:szCs w:val="16"/>
          <w:u w:val="single" w:color="auto"/>
          <w:color w:val="auto"/>
        </w:rPr>
        <w:t>provided</w:t>
      </w:r>
      <w:r>
        <w:rPr>
          <w:rFonts w:ascii="Arial" w:cs="Arial" w:eastAsia="Arial" w:hAnsi="Arial"/>
          <w:sz w:val="16"/>
          <w:szCs w:val="16"/>
          <w:color w:val="auto"/>
        </w:rPr>
        <w:t>, that (a) such new Lien shall be limited to all or part of the same property that secured the original Lien (plus improvements on such property), and</w:t>
      </w:r>
    </w:p>
    <w:p>
      <w:pPr>
        <w:ind w:firstLine="4"/>
        <w:spacing w:after="0" w:line="254" w:lineRule="auto"/>
        <w:tabs>
          <w:tab w:leader="none" w:pos="25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Indebtedness secured by such Lien at such time is not increased to any amount greater than the sum of (i) the outstanding principal amount or, if greater, committed amount of the Indebtedness described under clauses (10), (11), (12) and (13) at the time the original Lien became a Permitted Lien under this Indenture, and (ii) an amount necessary to pay any fees and expenses, including premiums, related to such refinancing, refunding, extension, renewal or replacement;</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700" w:top="274" w:right="279" w:bottom="1440" w:gutter="0" w:footer="0" w:header="0"/>
        </w:sectPr>
      </w:pPr>
    </w:p>
    <w:bookmarkStart w:id="231" w:name="page232"/>
    <w:bookmarkEnd w:id="231"/>
    <w:p>
      <w:pPr>
        <w:ind w:left="780" w:hanging="337"/>
        <w:spacing w:after="0"/>
        <w:tabs>
          <w:tab w:leader="none" w:pos="7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deposits made in the ordinary course of business to secure liability to insurance carriers;</w:t>
      </w:r>
    </w:p>
    <w:p>
      <w:pPr>
        <w:spacing w:after="0" w:line="117" w:lineRule="exact"/>
        <w:rPr>
          <w:rFonts w:ascii="Arial" w:cs="Arial" w:eastAsia="Arial" w:hAnsi="Arial"/>
          <w:sz w:val="18"/>
          <w:szCs w:val="18"/>
          <w:color w:val="auto"/>
        </w:rPr>
      </w:pPr>
    </w:p>
    <w:p>
      <w:pPr>
        <w:ind w:right="200" w:firstLine="443"/>
        <w:spacing w:after="0" w:line="277" w:lineRule="auto"/>
        <w:tabs>
          <w:tab w:leader="none" w:pos="783" w:val="left"/>
        </w:tabs>
        <w:numPr>
          <w:ilvl w:val="1"/>
          <w:numId w:val="353"/>
        </w:numPr>
        <w:rPr>
          <w:rFonts w:ascii="Arial" w:cs="Arial" w:eastAsia="Arial" w:hAnsi="Arial"/>
          <w:sz w:val="18"/>
          <w:szCs w:val="18"/>
          <w:color w:val="auto"/>
        </w:rPr>
      </w:pPr>
      <w:r>
        <w:rPr>
          <w:rFonts w:ascii="Arial" w:cs="Arial" w:eastAsia="Arial" w:hAnsi="Arial"/>
          <w:sz w:val="18"/>
          <w:szCs w:val="18"/>
          <w:color w:val="auto"/>
        </w:rPr>
        <w:t>other Liens securing obligations incurred in the ordinary course of business which obligations do not exceed $65.0 million at any one time outstanding;</w:t>
      </w:r>
    </w:p>
    <w:p>
      <w:pPr>
        <w:spacing w:after="0" w:line="62" w:lineRule="exact"/>
        <w:rPr>
          <w:rFonts w:ascii="Arial" w:cs="Arial" w:eastAsia="Arial" w:hAnsi="Arial"/>
          <w:sz w:val="18"/>
          <w:szCs w:val="18"/>
          <w:color w:val="auto"/>
        </w:rPr>
      </w:pPr>
    </w:p>
    <w:p>
      <w:pPr>
        <w:jc w:val="both"/>
        <w:ind w:right="80" w:firstLine="443"/>
        <w:spacing w:after="0" w:line="264" w:lineRule="auto"/>
        <w:tabs>
          <w:tab w:leader="none" w:pos="783" w:val="left"/>
        </w:tabs>
        <w:numPr>
          <w:ilvl w:val="1"/>
          <w:numId w:val="353"/>
        </w:numPr>
        <w:rPr>
          <w:rFonts w:ascii="Arial" w:cs="Arial" w:eastAsia="Arial" w:hAnsi="Arial"/>
          <w:sz w:val="18"/>
          <w:szCs w:val="18"/>
          <w:color w:val="auto"/>
        </w:rPr>
      </w:pPr>
      <w:r>
        <w:rPr>
          <w:rFonts w:ascii="Arial" w:cs="Arial" w:eastAsia="Arial" w:hAnsi="Arial"/>
          <w:sz w:val="18"/>
          <w:szCs w:val="18"/>
          <w:color w:val="auto"/>
        </w:rPr>
        <w:t>Liens securing judgments for the payment of money not constituting an Event of Default under clause (5) under Section 6.01 hereof so long as such Liens are adequately bonded and any appropriate legal proceedings that may have been duly initiated for the review of such judgment have not been finally terminated or the period within which such proceedings may be initiated has not expired;</w:t>
      </w:r>
    </w:p>
    <w:p>
      <w:pPr>
        <w:spacing w:after="0" w:line="73" w:lineRule="exact"/>
        <w:rPr>
          <w:rFonts w:ascii="Arial" w:cs="Arial" w:eastAsia="Arial" w:hAnsi="Arial"/>
          <w:sz w:val="18"/>
          <w:szCs w:val="18"/>
          <w:color w:val="auto"/>
        </w:rPr>
      </w:pPr>
    </w:p>
    <w:p>
      <w:pPr>
        <w:ind w:right="440" w:firstLine="443"/>
        <w:spacing w:after="0" w:line="277" w:lineRule="auto"/>
        <w:tabs>
          <w:tab w:leader="none" w:pos="783" w:val="left"/>
        </w:tabs>
        <w:numPr>
          <w:ilvl w:val="1"/>
          <w:numId w:val="35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Uniform Commercial Code on items in the course of collection,</w:t>
      </w:r>
    </w:p>
    <w:p>
      <w:pPr>
        <w:spacing w:after="0" w:line="23" w:lineRule="exact"/>
        <w:rPr>
          <w:rFonts w:ascii="Arial" w:cs="Arial" w:eastAsia="Arial" w:hAnsi="Arial"/>
          <w:sz w:val="18"/>
          <w:szCs w:val="18"/>
          <w:color w:val="auto"/>
        </w:rPr>
      </w:pPr>
    </w:p>
    <w:p>
      <w:pPr>
        <w:ind w:right="260" w:firstLine="4"/>
        <w:spacing w:after="0" w:line="255" w:lineRule="auto"/>
        <w:tabs>
          <w:tab w:leader="none" w:pos="26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spacing w:after="0" w:line="82" w:lineRule="exact"/>
        <w:rPr>
          <w:rFonts w:ascii="Arial" w:cs="Arial" w:eastAsia="Arial" w:hAnsi="Arial"/>
          <w:sz w:val="18"/>
          <w:szCs w:val="18"/>
          <w:color w:val="auto"/>
        </w:rPr>
      </w:pPr>
    </w:p>
    <w:p>
      <w:pPr>
        <w:ind w:right="360" w:firstLine="443"/>
        <w:spacing w:after="0" w:line="277" w:lineRule="auto"/>
        <w:tabs>
          <w:tab w:leader="none" w:pos="783" w:val="left"/>
        </w:tabs>
        <w:numPr>
          <w:ilvl w:val="1"/>
          <w:numId w:val="354"/>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Section 4.09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extend to any assets other than those that are the subject of such repurchase agreement;</w:t>
      </w:r>
    </w:p>
    <w:p>
      <w:pPr>
        <w:spacing w:after="0" w:line="62" w:lineRule="exact"/>
        <w:rPr>
          <w:rFonts w:ascii="Arial" w:cs="Arial" w:eastAsia="Arial" w:hAnsi="Arial"/>
          <w:sz w:val="18"/>
          <w:szCs w:val="18"/>
          <w:color w:val="auto"/>
        </w:rPr>
      </w:pPr>
    </w:p>
    <w:p>
      <w:pPr>
        <w:ind w:right="120" w:firstLine="443"/>
        <w:spacing w:after="0" w:line="277" w:lineRule="auto"/>
        <w:tabs>
          <w:tab w:leader="none" w:pos="783" w:val="left"/>
        </w:tabs>
        <w:numPr>
          <w:ilvl w:val="1"/>
          <w:numId w:val="354"/>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62" w:lineRule="exact"/>
        <w:rPr>
          <w:rFonts w:ascii="Arial" w:cs="Arial" w:eastAsia="Arial" w:hAnsi="Arial"/>
          <w:sz w:val="18"/>
          <w:szCs w:val="18"/>
          <w:color w:val="auto"/>
        </w:rPr>
      </w:pPr>
    </w:p>
    <w:p>
      <w:pPr>
        <w:jc w:val="both"/>
        <w:ind w:right="20" w:firstLine="443"/>
        <w:spacing w:after="0" w:line="302" w:lineRule="auto"/>
        <w:tabs>
          <w:tab w:leader="none" w:pos="783" w:val="left"/>
        </w:tabs>
        <w:numPr>
          <w:ilvl w:val="1"/>
          <w:numId w:val="354"/>
        </w:numPr>
        <w:rPr>
          <w:rFonts w:ascii="Arial" w:cs="Arial" w:eastAsia="Arial" w:hAnsi="Arial"/>
          <w:sz w:val="16"/>
          <w:szCs w:val="16"/>
          <w:color w:val="auto"/>
        </w:rPr>
      </w:pPr>
      <w:r>
        <w:rPr>
          <w:rFonts w:ascii="Arial" w:cs="Arial" w:eastAsia="Arial" w:hAnsi="Arial"/>
          <w:sz w:val="16"/>
          <w:szCs w:val="16"/>
          <w:color w:val="auto"/>
        </w:rPr>
        <w:t>Liens that are contractual rights of set-off (i) relating to the establishment of depository relations with banks not given in connection with the issuance of Indebtedness, (ii) relating to pooled deposit or sweep accounts of the Company or any of its Restricted Subsidiaries to permit satisfaction of overdraft or similar obligations incurred in the ordinary course of business of the Company and its Restricted Subsidiaries or (iii) relating to purchase orders and other agreements entered into with customers of the Company or any of its Restricted Subsidiaries in the ordinary course of business;</w:t>
      </w:r>
    </w:p>
    <w:p>
      <w:pPr>
        <w:spacing w:after="0" w:line="46" w:lineRule="exact"/>
        <w:rPr>
          <w:rFonts w:ascii="Arial" w:cs="Arial" w:eastAsia="Arial" w:hAnsi="Arial"/>
          <w:sz w:val="16"/>
          <w:szCs w:val="16"/>
          <w:color w:val="auto"/>
        </w:rPr>
      </w:pPr>
    </w:p>
    <w:p>
      <w:pPr>
        <w:ind w:right="500" w:firstLine="443"/>
        <w:spacing w:after="0" w:line="264" w:lineRule="auto"/>
        <w:tabs>
          <w:tab w:leader="none" w:pos="783" w:val="left"/>
        </w:tabs>
        <w:numPr>
          <w:ilvl w:val="1"/>
          <w:numId w:val="354"/>
        </w:numPr>
        <w:rPr>
          <w:rFonts w:ascii="Arial" w:cs="Arial" w:eastAsia="Arial" w:hAnsi="Arial"/>
          <w:sz w:val="18"/>
          <w:szCs w:val="18"/>
          <w:color w:val="auto"/>
        </w:rPr>
      </w:pPr>
      <w:r>
        <w:rPr>
          <w:rFonts w:ascii="Arial" w:cs="Arial" w:eastAsia="Arial" w:hAnsi="Arial"/>
          <w:sz w:val="18"/>
          <w:szCs w:val="18"/>
          <w:color w:val="auto"/>
        </w:rPr>
        <w:t>Liens securing obligations owed by the Company or any Restricted Subsidiary to any lender under the Senior Credit Facilities or any Affiliate of such a lender in respect of any overdraft and related liabilities arising from treasury, depository and cash management services or any automated clearing house transfers of funds;</w:t>
      </w:r>
    </w:p>
    <w:p>
      <w:pPr>
        <w:spacing w:after="0" w:line="73" w:lineRule="exact"/>
        <w:rPr>
          <w:rFonts w:ascii="Arial" w:cs="Arial" w:eastAsia="Arial" w:hAnsi="Arial"/>
          <w:sz w:val="18"/>
          <w:szCs w:val="18"/>
          <w:color w:val="auto"/>
        </w:rPr>
      </w:pPr>
    </w:p>
    <w:p>
      <w:pPr>
        <w:ind w:firstLine="443"/>
        <w:spacing w:after="0" w:line="279" w:lineRule="auto"/>
        <w:tabs>
          <w:tab w:leader="none" w:pos="783" w:val="left"/>
        </w:tabs>
        <w:numPr>
          <w:ilvl w:val="1"/>
          <w:numId w:val="354"/>
        </w:numPr>
        <w:rPr>
          <w:rFonts w:ascii="Arial" w:cs="Arial" w:eastAsia="Arial" w:hAnsi="Arial"/>
          <w:sz w:val="17"/>
          <w:szCs w:val="17"/>
          <w:color w:val="auto"/>
        </w:rPr>
      </w:pPr>
      <w:r>
        <w:rPr>
          <w:rFonts w:ascii="Arial" w:cs="Arial" w:eastAsia="Arial" w:hAnsi="Arial"/>
          <w:sz w:val="17"/>
          <w:szCs w:val="17"/>
          <w:color w:val="auto"/>
        </w:rPr>
        <w:t xml:space="preserve">Liens securing Indebtedness the proceeds of which are used to develop or construct new facilities (or any improvements to existing facilities) or equipment (or any improvements to existing equipment) designed primarily for the purpose of air or water pollutions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is permitted to be incurred by the terms of this Indenture and such Liens do not extend to any assets of the Company or its Restricted Subsidiaries other than the assets acquired or improved with the proceeds of the Indebtedness secured by such Lien; and</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74" w:right="239" w:bottom="1440" w:gutter="0" w:footer="0" w:header="0"/>
        </w:sectPr>
      </w:pPr>
    </w:p>
    <w:bookmarkStart w:id="232" w:name="page233"/>
    <w:bookmarkEnd w:id="232"/>
    <w:p>
      <w:pPr>
        <w:ind w:left="460" w:right="900" w:firstLine="443"/>
        <w:spacing w:after="0" w:line="277" w:lineRule="auto"/>
        <w:tabs>
          <w:tab w:leader="none" w:pos="1243" w:val="left"/>
        </w:tabs>
        <w:numPr>
          <w:ilvl w:val="0"/>
          <w:numId w:val="3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encumbrance or restriction (including put and call arrangements) with respect to capital stock of any joint venture or similar arrangement pursuant to any joint venture or similar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purposes of this definition, the term “Indebtedness” shall be deemed to include interest on such Indebtedness. The Permitted Liens listed in</w:t>
      </w:r>
    </w:p>
    <w:p>
      <w:pPr>
        <w:spacing w:after="0" w:line="46" w:lineRule="exact"/>
        <w:rPr>
          <w:sz w:val="20"/>
          <w:szCs w:val="20"/>
          <w:color w:val="auto"/>
        </w:rPr>
      </w:pPr>
    </w:p>
    <w:p>
      <w:pPr>
        <w:ind w:right="120" w:firstLine="8"/>
        <w:spacing w:after="0" w:line="323" w:lineRule="auto"/>
        <w:tabs>
          <w:tab w:leader="none" w:pos="255"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and (7) may grant priority in right of payment to the Credit Facilities Obligations secured thereby, and to Hedging Obligations provided by any lender or letter of credit issuer (or any affiliate thereof) under the Revolving Credit Facility, but only for an aggregate principal amount not exceeding €750 million.</w:t>
      </w:r>
    </w:p>
    <w:p>
      <w:pPr>
        <w:spacing w:after="0" w:line="139"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government or any agency or political subdivision thereof or any other entity.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means any Equity Interest with preferential rights of payment of dividends or upon liquidation, dissolution, or winding up.</w:t>
      </w:r>
    </w:p>
    <w:p>
      <w:pPr>
        <w:spacing w:after="0" w:line="23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Legend</w:t>
      </w:r>
      <w:r>
        <w:rPr>
          <w:rFonts w:ascii="Arial" w:cs="Arial" w:eastAsia="Arial" w:hAnsi="Arial"/>
          <w:sz w:val="18"/>
          <w:szCs w:val="18"/>
          <w:color w:val="auto"/>
        </w:rPr>
        <w:t>” means the legend set forth in Section 2.06(f)(i) hereof to be placed on all Notes issued under this Indenture, except where otherwise permitted by the provisions of this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Proceeds</w:t>
      </w:r>
      <w:r>
        <w:rPr>
          <w:rFonts w:ascii="Arial" w:cs="Arial" w:eastAsia="Arial" w:hAnsi="Arial"/>
          <w:sz w:val="17"/>
          <w:szCs w:val="17"/>
          <w:color w:val="auto"/>
        </w:rPr>
        <w:t>” means the fair market value of assets that are used or useful in, or Capital Stock of any Person engaged in, a Similar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Securitization Facility</w:t>
      </w:r>
      <w:r>
        <w:rPr>
          <w:rFonts w:ascii="Arial" w:cs="Arial" w:eastAsia="Arial" w:hAnsi="Arial"/>
          <w:sz w:val="17"/>
          <w:szCs w:val="17"/>
          <w:color w:val="auto"/>
        </w:rPr>
        <w:t>” means any Securitization Facility (a) constituting a securitization financing facility that meets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conditions: (1) the board of directors of the Company shall have determined in good faith that such Securitization Facility (including financing terms,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covenants, termination events and other provisions) is in the aggregate economically fair and reasonable to the Company and the applicable Securitization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(2) all sales and/or contributions of Securitization Assets and related assets to the applicable Securitization Subsidiary are made at fair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(as determined in good faith by the Company) and (3) the financing terms, covenants, termination events and other provisions thereof shall be market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(as determined in good faith by the Company) or (b) constituting a receivables financing facility.</w:t>
      </w:r>
    </w:p>
    <w:p>
      <w:pPr>
        <w:spacing w:after="0" w:line="211"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Agencies</w:t>
      </w:r>
      <w:r>
        <w:rPr>
          <w:rFonts w:ascii="Arial" w:cs="Arial" w:eastAsia="Arial" w:hAnsi="Arial"/>
          <w:sz w:val="18"/>
          <w:szCs w:val="18"/>
          <w:color w:val="auto"/>
        </w:rPr>
        <w:t>” means Moody’s and S&amp;P or if Moody’s or S&amp;P or both shall not make a rating on the Notes publicly available, a nationally recognized statistical rating agency or agencies, as the case may be, selected by the Issuer which shall be substituted for Moody’s or S&amp;P or both, as the case may be.</w:t>
      </w:r>
    </w:p>
    <w:p>
      <w:pPr>
        <w:spacing w:after="0" w:line="18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for the interest payable on any applicable Interest Payment Date means the May 1 or November 1 (whether or not a Business Day) immediately preceding such Interest Payment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Global Note</w:t>
      </w:r>
      <w:r>
        <w:rPr>
          <w:rFonts w:ascii="Arial" w:cs="Arial" w:eastAsia="Arial" w:hAnsi="Arial"/>
          <w:sz w:val="18"/>
          <w:szCs w:val="18"/>
          <w:color w:val="auto"/>
        </w:rPr>
        <w:t>” means a Regulation S Temporary Global Note or Regulation S Permanent Global Note, as applicable.</w:t>
      </w:r>
    </w:p>
    <w:p>
      <w:pPr>
        <w:spacing w:after="0" w:line="225"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S Permanent Global Note</w:t>
      </w:r>
      <w:r>
        <w:rPr>
          <w:rFonts w:ascii="Arial" w:cs="Arial" w:eastAsia="Arial" w:hAnsi="Arial"/>
          <w:sz w:val="16"/>
          <w:szCs w:val="16"/>
          <w:color w:val="auto"/>
        </w:rPr>
        <w:t xml:space="preserve">” means a permanent Global Note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of the applicable series upon expiration of the Restricted Period.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233" w:name="page234"/>
    <w:bookmarkEnd w:id="233"/>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Regulation S Temporary Global Note</w:t>
      </w:r>
      <w:r>
        <w:rPr>
          <w:rFonts w:ascii="Arial" w:cs="Arial" w:eastAsia="Arial" w:hAnsi="Arial"/>
          <w:sz w:val="18"/>
          <w:szCs w:val="18"/>
          <w:color w:val="auto"/>
        </w:rPr>
        <w:t xml:space="preserve">” means a temporary Global Note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bearing the Global Note Legend, the Private Placement Legend and the Regulation S Temporary Global Note Legend and deposited with or on behalf of and registered in the name of the Depositary or its nominee, issued in a denomination equal to the outstanding principal amount of the Notes of the applicable series initially sold in reliance on Rule 903.</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Temporary Global Note Legend</w:t>
      </w:r>
      <w:r>
        <w:rPr>
          <w:rFonts w:ascii="Arial" w:cs="Arial" w:eastAsia="Arial" w:hAnsi="Arial"/>
          <w:sz w:val="18"/>
          <w:szCs w:val="18"/>
          <w:color w:val="auto"/>
        </w:rPr>
        <w:t>” means the legend set forth in Section 2.06(f)(iii) hereof.</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 Assets</w:t>
      </w:r>
      <w:r>
        <w:rPr>
          <w:rFonts w:ascii="Arial" w:cs="Arial" w:eastAsia="Arial" w:hAnsi="Arial"/>
          <w:sz w:val="18"/>
          <w:szCs w:val="18"/>
          <w:color w:val="auto"/>
        </w:rPr>
        <w:t xml:space="preserve">” means assets (other than cash or Cash Equivalents) used or useful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assets received by the Company or a Restricted Subsidiary in exchange for assets transferred by the Company or a Restricted Subsidiary shall not be deemed to be Related Business Assets if they consist of securities of a Person, unless upon receipt of the securities of such Person, such Person would become a Restricted Subsidiary.</w:t>
      </w:r>
    </w:p>
    <w:p>
      <w:pPr>
        <w:spacing w:after="0" w:line="187"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Definitive Note</w:t>
      </w:r>
      <w:r>
        <w:rPr>
          <w:rFonts w:ascii="Arial" w:cs="Arial" w:eastAsia="Arial" w:hAnsi="Arial"/>
          <w:sz w:val="18"/>
          <w:szCs w:val="18"/>
          <w:color w:val="auto"/>
        </w:rPr>
        <w:t>” means a Definitive Note bearing, or that is required to bear, the Private Placement Legend.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Global Note</w:t>
      </w:r>
      <w:r>
        <w:rPr>
          <w:rFonts w:ascii="Arial" w:cs="Arial" w:eastAsia="Arial" w:hAnsi="Arial"/>
          <w:sz w:val="18"/>
          <w:szCs w:val="18"/>
          <w:color w:val="auto"/>
        </w:rPr>
        <w:t>” means a Global Note bearing, or that is required to bear, the Private Placement Legend.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Parent Guarantor</w:t>
      </w:r>
      <w:r>
        <w:rPr>
          <w:rFonts w:ascii="Arial" w:cs="Arial" w:eastAsia="Arial" w:hAnsi="Arial"/>
          <w:sz w:val="18"/>
          <w:szCs w:val="18"/>
          <w:color w:val="auto"/>
        </w:rPr>
        <w:t>” means the Company, Holdings I, Holdings II, Holdings III, Holdings IV and Holdings V.</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xml:space="preserve">” means, at any time, Holdings I, Holdings II, Holdings III, Holdings IV, Holdings V, the Issuer and any other direct or indirect Subsidiary of the Company (including any Foreign Subsidiary) that is not then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upon an Unrestricted Subsidiary ceasing to be an Unrestricted Subsidiary, such Subsidiary shall be included in the definition of “Restricted Subsidiary” if it is then a Subsidiary of the Company.</w:t>
      </w:r>
    </w:p>
    <w:p>
      <w:pPr>
        <w:spacing w:after="0" w:line="18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means the $600 million super senior secured revolving credit facility entered into as of the Merger Date by and among NXP Holdings, the Company, NXP Funding LLC, the other Restricted Subsidiaries party thereto, the lenders party thereto in their capacities as lenders thereunder and the administrative agent named therein, including any guarantees, collateral documents, instruments and agreements executed in connection therewith, and any amendments, supplements, modifications, extensions, renewals, restatements, refundings or refinancings thereof and any indentures or credit facilities or commercial paper facilities with banks or other institutional lenders or investors that replace, refund or refinance any part of the loans, notes, other credit facilities or commitments thereunder, including any such replacement, refunding or refinancing facility or indenture that increases the amount borrowable thereunder or alters the maturity thereof (provided that such increase in borrowings is permitted under Section 4.09 hereof).</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234" w:name="page235"/>
    <w:bookmarkEnd w:id="23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and any successor to its rating agency business.</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Guarantors</w:t>
      </w:r>
      <w:r>
        <w:rPr>
          <w:rFonts w:ascii="Arial" w:cs="Arial" w:eastAsia="Arial" w:hAnsi="Arial"/>
          <w:sz w:val="18"/>
          <w:szCs w:val="18"/>
          <w:color w:val="auto"/>
        </w:rPr>
        <w:t>” means the Restricted Parent Guarantors, the Domestic Subsidiary Guarantors and the Foreign Subsidiary Guarantors providing secured Guarantees.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Indebtedness</w:t>
      </w:r>
      <w:r>
        <w:rPr>
          <w:rFonts w:ascii="Arial" w:cs="Arial" w:eastAsia="Arial" w:hAnsi="Arial"/>
          <w:sz w:val="18"/>
          <w:szCs w:val="18"/>
          <w:color w:val="auto"/>
        </w:rPr>
        <w:t>” means any Indebtedness of the Company or any of its Restricted Subsidiaries secured by a Lien.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Senior Credit Agreement Secured Parties and the Additional First Lien Debt Parties.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Assets</w:t>
      </w:r>
      <w:r>
        <w:rPr>
          <w:rFonts w:ascii="Arial" w:cs="Arial" w:eastAsia="Arial" w:hAnsi="Arial"/>
          <w:sz w:val="18"/>
          <w:szCs w:val="18"/>
          <w:color w:val="auto"/>
        </w:rPr>
        <w:t>” means the accounts receivable, royalty or other revenue streams and other rights to payment related to the Specified Contract Rights subject to a Qualified Securitization Facility that is a securitization financing facility (and not a receivables financing facility) and the proceeds thereof.</w:t>
      </w:r>
    </w:p>
    <w:p>
      <w:pPr>
        <w:spacing w:after="0" w:line="1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Facility</w:t>
      </w:r>
      <w:r>
        <w:rPr>
          <w:rFonts w:ascii="Arial" w:cs="Arial" w:eastAsia="Arial" w:hAnsi="Arial"/>
          <w:sz w:val="18"/>
          <w:szCs w:val="18"/>
          <w:color w:val="auto"/>
        </w:rPr>
        <w:t>” means any of one or more receivables or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the Company or any of its Restricted Subsidiaries (other than a Securitization Subsidiary) pursuant to which the Company or any of its Restricted Subsidiaries sells or grants a security interest in its accounts receivable or Securitization Assets or assets related thereto to either (a) a Person that is not a Restricted Subsidiary or (b) a Securitization Subsidiary that in turn sells its accounts receivable to a Person that is not a Restricted Subsidiary.</w:t>
      </w:r>
    </w:p>
    <w:p>
      <w:pPr>
        <w:spacing w:after="0" w:line="193"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Fees</w:t>
      </w:r>
      <w:r>
        <w:rPr>
          <w:rFonts w:ascii="Arial" w:cs="Arial" w:eastAsia="Arial" w:hAnsi="Arial"/>
          <w:sz w:val="16"/>
          <w:szCs w:val="16"/>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Financing.</w:t>
      </w:r>
    </w:p>
    <w:p>
      <w:pPr>
        <w:spacing w:after="0" w:line="124"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Subsidiary</w:t>
      </w:r>
      <w:r>
        <w:rPr>
          <w:rFonts w:ascii="Arial" w:cs="Arial" w:eastAsia="Arial" w:hAnsi="Arial"/>
          <w:sz w:val="18"/>
          <w:szCs w:val="18"/>
          <w:color w:val="auto"/>
        </w:rPr>
        <w:t>” means any Subsidiary formed for the purpose of, and that solely engages only in one or more Qualified Securitization Facilities and other activities reasonably related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235" w:name="page236"/>
    <w:bookmarkEnd w:id="235"/>
    <w:p>
      <w:pPr>
        <w:jc w:val="both"/>
        <w:ind w:right="6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means the security agreement dated as of November 1, 2013, among the Issuer, Holdings IV, SigmaTel, the subsidiaries of Holdings III from time to time party thereto and the Collateral Agent, as amended, supplemented, modified, extended, renewed or restated from time to time.</w:t>
      </w:r>
    </w:p>
    <w:p>
      <w:pPr>
        <w:spacing w:after="0" w:line="124" w:lineRule="exact"/>
        <w:rPr>
          <w:sz w:val="20"/>
          <w:szCs w:val="20"/>
          <w:color w:val="auto"/>
        </w:rPr>
      </w:pPr>
    </w:p>
    <w:p>
      <w:pPr>
        <w:jc w:val="both"/>
        <w:ind w:right="10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Credit Agreement Collateral Documents</w:t>
      </w:r>
      <w:r>
        <w:rPr>
          <w:rFonts w:ascii="Arial" w:cs="Arial" w:eastAsia="Arial" w:hAnsi="Arial"/>
          <w:sz w:val="17"/>
          <w:szCs w:val="17"/>
          <w:color w:val="auto"/>
        </w:rPr>
        <w:t>” means each security agreement, each intellectual property security agreement, each mortgage, each pledge of shares, each pledge of receivables, each pledge of moveable assets, the security agreement supplements and each other agreement, instrument or other document entered into in favor of the collateral agents under the Senior Credit Facilities Documents, the Collateral Agent or any of the other Senior Credit Agreement Secured Parties for purposes of securing the Senior Credit Agreement Obligations.</w:t>
      </w:r>
    </w:p>
    <w:p>
      <w:pPr>
        <w:spacing w:after="0" w:line="17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Credit Agreement Obligations</w:t>
      </w:r>
      <w:r>
        <w:rPr>
          <w:rFonts w:ascii="Arial" w:cs="Arial" w:eastAsia="Arial" w:hAnsi="Arial"/>
          <w:sz w:val="18"/>
          <w:szCs w:val="18"/>
          <w:color w:val="auto"/>
        </w:rPr>
        <w:t>” has the meaning assigned to the term “Secured Obligations” in the Revolving Credit Facility and/or the Term Loan Facilities (as the case may be).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Credit Agreement Secured Parties</w:t>
      </w:r>
      <w:r>
        <w:rPr>
          <w:rFonts w:ascii="Arial" w:cs="Arial" w:eastAsia="Arial" w:hAnsi="Arial"/>
          <w:sz w:val="18"/>
          <w:szCs w:val="18"/>
          <w:color w:val="auto"/>
        </w:rPr>
        <w:t>” has the meaning assigned to the term “Secured Parties” in the Revolving Credit Facility and/or the Term Loan Facilities (as applicable).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Credit Facilities</w:t>
      </w:r>
      <w:r>
        <w:rPr>
          <w:rFonts w:ascii="Arial" w:cs="Arial" w:eastAsia="Arial" w:hAnsi="Arial"/>
          <w:sz w:val="18"/>
          <w:szCs w:val="18"/>
          <w:color w:val="auto"/>
        </w:rPr>
        <w:t>” means the Revolving Credit Facility and the Term Loan Facilities.</w:t>
      </w:r>
    </w:p>
    <w:p>
      <w:pPr>
        <w:spacing w:after="0" w:line="225"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Credit Facilities Documents</w:t>
      </w:r>
      <w:r>
        <w:rPr>
          <w:rFonts w:ascii="Arial" w:cs="Arial" w:eastAsia="Arial" w:hAnsi="Arial"/>
          <w:sz w:val="17"/>
          <w:szCs w:val="17"/>
          <w:color w:val="auto"/>
        </w:rPr>
        <w:t>” means the Senior Credit Facilities, any promissory notes issued to any lender pursuant to the Revolving Credit Facility and/or the Term Loan Facilities (as applicable), the Senior Credit Agreement Collateral Documents and each other Loan Document (as defined in the Senior Credit Facilities), as the same may be amended, restated, supplemented or otherwise modified from time to time.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means:</w:t>
      </w:r>
    </w:p>
    <w:p>
      <w:pPr>
        <w:spacing w:after="0" w:line="117" w:lineRule="exact"/>
        <w:rPr>
          <w:sz w:val="20"/>
          <w:szCs w:val="20"/>
          <w:color w:val="auto"/>
        </w:rPr>
      </w:pPr>
    </w:p>
    <w:p>
      <w:pPr>
        <w:ind w:left="460" w:right="20" w:firstLine="443"/>
        <w:spacing w:after="0" w:line="255" w:lineRule="auto"/>
        <w:tabs>
          <w:tab w:leader="none" w:pos="115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all Indebtedness of the Issuer or any Guarantor outstanding under the Senior Credit Facilities, the Existing Secured Notes and the related Guarantees, the Notes and related Guarantees and the NXP Notes and related Guarantees (including interest accruing on or after the filing of any petition in bankruptcy or similar proceeding or for reorganization of the Issuer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Issue Date or thereafter created or incurred) and all obligations of the Issuer or any Guarantor to reimburse any bank or other Person in respect of amounts paid under letters of credit, acceptances or other similar instruments;</w:t>
      </w:r>
    </w:p>
    <w:p>
      <w:pPr>
        <w:spacing w:after="0" w:line="81" w:lineRule="exact"/>
        <w:rPr>
          <w:rFonts w:ascii="Arial" w:cs="Arial" w:eastAsia="Arial" w:hAnsi="Arial"/>
          <w:sz w:val="18"/>
          <w:szCs w:val="18"/>
          <w:color w:val="auto"/>
        </w:rPr>
      </w:pPr>
    </w:p>
    <w:p>
      <w:pPr>
        <w:jc w:val="both"/>
        <w:ind w:left="460" w:firstLine="443"/>
        <w:spacing w:after="0" w:line="286" w:lineRule="auto"/>
        <w:tabs>
          <w:tab w:leader="none" w:pos="1153" w:val="left"/>
        </w:tabs>
        <w:numPr>
          <w:ilvl w:val="0"/>
          <w:numId w:val="357"/>
        </w:numPr>
        <w:rPr>
          <w:rFonts w:ascii="Arial" w:cs="Arial" w:eastAsia="Arial" w:hAnsi="Arial"/>
          <w:sz w:val="17"/>
          <w:szCs w:val="17"/>
          <w:color w:val="auto"/>
        </w:rPr>
      </w:pPr>
      <w:r>
        <w:rPr>
          <w:rFonts w:ascii="Arial" w:cs="Arial" w:eastAsia="Arial" w:hAnsi="Arial"/>
          <w:sz w:val="17"/>
          <w:szCs w:val="17"/>
          <w:color w:val="auto"/>
        </w:rPr>
        <w:t xml:space="preserve">all Hedging Obligations (and guarantees thereof) owing to a Lender (as defined in the Senior Credit Facilities) or any Affiliate of such Lender (or any Person that was a Lender or an Affiliate of such Lender at the time the applicable agreement giving rise to such Hedging Obligation was entered into),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Hedging Obligations are permitted to be incurred under the terms of this Indenture;</w:t>
      </w:r>
    </w:p>
    <w:p>
      <w:pPr>
        <w:spacing w:after="0" w:line="57" w:lineRule="exact"/>
        <w:rPr>
          <w:rFonts w:ascii="Arial" w:cs="Arial" w:eastAsia="Arial" w:hAnsi="Arial"/>
          <w:sz w:val="17"/>
          <w:szCs w:val="17"/>
          <w:color w:val="auto"/>
        </w:rPr>
      </w:pPr>
    </w:p>
    <w:p>
      <w:pPr>
        <w:ind w:left="460" w:right="140" w:firstLine="443"/>
        <w:spacing w:after="0" w:line="264" w:lineRule="auto"/>
        <w:tabs>
          <w:tab w:leader="none" w:pos="115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other Indebtedness of the Issuer or any Guarantor permitted to be incurred under the terms of this Indenture, unless the instrument under which such Indebtedness is incurred expressly provides that it is on a parity with or subordinated in right of payment to the Existing Senior Subordinated Notes or any related Guarantee, if such notes or guarantee were still outstanding;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236" w:name="page237"/>
    <w:bookmarkEnd w:id="23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all Obligations with respect to the items listed in the preceding clauses (1), (2) and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Senior Indebtedness shall not include:</w:t>
      </w:r>
    </w:p>
    <w:p>
      <w:pPr>
        <w:spacing w:after="0" w:line="117" w:lineRule="exact"/>
        <w:rPr>
          <w:sz w:val="20"/>
          <w:szCs w:val="20"/>
          <w:color w:val="auto"/>
        </w:rPr>
      </w:pPr>
    </w:p>
    <w:p>
      <w:pPr>
        <w:ind w:left="1580" w:hanging="239"/>
        <w:spacing w:after="0"/>
        <w:tabs>
          <w:tab w:leader="none" w:pos="15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obligation of such Person to the Company or any of its Subsidiaries;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such Person;</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accounts payable or other liability to trade creditors arising in the ordinary course of business;</w:t>
      </w:r>
    </w:p>
    <w:p>
      <w:pPr>
        <w:spacing w:after="0" w:line="117" w:lineRule="exact"/>
        <w:rPr>
          <w:rFonts w:ascii="Arial" w:cs="Arial" w:eastAsia="Arial" w:hAnsi="Arial"/>
          <w:sz w:val="18"/>
          <w:szCs w:val="18"/>
          <w:color w:val="auto"/>
        </w:rPr>
      </w:pPr>
    </w:p>
    <w:p>
      <w:pPr>
        <w:ind w:left="920" w:right="300" w:firstLine="421"/>
        <w:spacing w:after="0" w:line="286" w:lineRule="auto"/>
        <w:tabs>
          <w:tab w:leader="none" w:pos="1595" w:val="left"/>
        </w:tabs>
        <w:numPr>
          <w:ilvl w:val="0"/>
          <w:numId w:val="358"/>
        </w:numPr>
        <w:rPr>
          <w:rFonts w:ascii="Arial" w:cs="Arial" w:eastAsia="Arial" w:hAnsi="Arial"/>
          <w:sz w:val="17"/>
          <w:szCs w:val="17"/>
          <w:color w:val="auto"/>
        </w:rPr>
      </w:pPr>
      <w:r>
        <w:rPr>
          <w:rFonts w:ascii="Arial" w:cs="Arial" w:eastAsia="Arial" w:hAnsi="Arial"/>
          <w:sz w:val="17"/>
          <w:szCs w:val="17"/>
          <w:color w:val="auto"/>
        </w:rPr>
        <w:t>any Indebtedness or other Obligation of such Person which is subordinate or junior in right of payment to any other Indebtedness or other Obligation of such Person provided that Indebtedness is not deemed to be subordinated or junior to other Indebtedness or Obligations merely because it is unsecured or because it has a junior priority with respect to the same collateral; or</w:t>
      </w:r>
    </w:p>
    <w:p>
      <w:pPr>
        <w:spacing w:after="0" w:line="57" w:lineRule="exact"/>
        <w:rPr>
          <w:rFonts w:ascii="Arial" w:cs="Arial" w:eastAsia="Arial" w:hAnsi="Arial"/>
          <w:sz w:val="17"/>
          <w:szCs w:val="17"/>
          <w:color w:val="auto"/>
        </w:rPr>
      </w:pPr>
    </w:p>
    <w:p>
      <w:pPr>
        <w:ind w:left="1580" w:hanging="239"/>
        <w:spacing w:after="0"/>
        <w:tabs>
          <w:tab w:leader="none" w:pos="15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that portion of any Indebtedness which at the time of incurrence is incurred in violation of this Indenture.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SigmaTel</w:t>
      </w:r>
      <w:r>
        <w:rPr>
          <w:rFonts w:ascii="Arial" w:cs="Arial" w:eastAsia="Arial" w:hAnsi="Arial"/>
          <w:sz w:val="18"/>
          <w:szCs w:val="18"/>
          <w:color w:val="auto"/>
        </w:rPr>
        <w:t>” means SigmaTel LLC, a Delaware limited liability company.</w:t>
      </w:r>
    </w:p>
    <w:p>
      <w:pPr>
        <w:spacing w:after="0" w:line="225" w:lineRule="exact"/>
        <w:rPr>
          <w:sz w:val="20"/>
          <w:szCs w:val="20"/>
          <w:color w:val="auto"/>
        </w:rPr>
      </w:pPr>
    </w:p>
    <w:p>
      <w:pPr>
        <w:ind w:right="7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Restricted Subsidiary that would be a “significant subsidiary” as defined in Article 1, Rule 1-02 of Regulation S-X, promulgated pursuant to the Securities Act, as such regulation is in effect on the Issue Date.</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means any business conducted or proposed to be conducted by the Company and its Restricted Subsidiaries on the Issue Date and any reasonable extension thereof or any business that is similar, reasonably related, incidental or ancillary thereto.</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Contract Rights</w:t>
      </w:r>
      <w:r>
        <w:rPr>
          <w:rFonts w:ascii="Arial" w:cs="Arial" w:eastAsia="Arial" w:hAnsi="Arial"/>
          <w:sz w:val="18"/>
          <w:szCs w:val="18"/>
          <w:color w:val="auto"/>
        </w:rPr>
        <w:t>” means certain intellectual property licenses, agreements or other contracts giving rise to not more than $100 million of annual accounts receivable, royalty or other intellectual property revenue streams or other rights to payment.</w:t>
      </w:r>
    </w:p>
    <w:p>
      <w:pPr>
        <w:spacing w:after="0" w:line="170"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Foreign Subsidiaries</w:t>
      </w:r>
      <w:r>
        <w:rPr>
          <w:rFonts w:ascii="Arial" w:cs="Arial" w:eastAsia="Arial" w:hAnsi="Arial"/>
          <w:sz w:val="18"/>
          <w:szCs w:val="18"/>
          <w:color w:val="auto"/>
        </w:rPr>
        <w:t>” means each Material Foreign Subsidiary that is not a direct or indirect Subsidiary of Holdings V, each Transferred Foreign Subsidiary and, after its formation, Foreign Acquisition Co.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with respect to the Notes,</w:t>
      </w:r>
    </w:p>
    <w:p>
      <w:pPr>
        <w:spacing w:after="0" w:line="117" w:lineRule="exact"/>
        <w:rPr>
          <w:sz w:val="20"/>
          <w:szCs w:val="20"/>
          <w:color w:val="auto"/>
        </w:rPr>
      </w:pPr>
    </w:p>
    <w:p>
      <w:pPr>
        <w:ind w:left="1160" w:hanging="257"/>
        <w:spacing w:after="0"/>
        <w:tabs>
          <w:tab w:leader="none" w:pos="11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Indebtedness of the Issuer which is by its terms subordinated in right of payment to the Notes,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any Indebtedness of any Guarantor which is by its terms subordinated in right of payment to the Guarantee of such entity of the Notes.</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460" w:right="100" w:firstLine="443"/>
        <w:spacing w:after="0" w:line="302" w:lineRule="auto"/>
        <w:tabs>
          <w:tab w:leader="none" w:pos="1153" w:val="left"/>
        </w:tabs>
        <w:numPr>
          <w:ilvl w:val="0"/>
          <w:numId w:val="360"/>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 is consolidated under GAAP with such Person at such time; and</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237" w:name="page238"/>
    <w:bookmarkEnd w:id="237"/>
    <w:p>
      <w:pPr>
        <w:ind w:left="1160" w:hanging="257"/>
        <w:spacing w:after="0"/>
        <w:tabs>
          <w:tab w:leader="none" w:pos="11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partnership, joint venture, limited liability company or similar entity of which</w:t>
      </w:r>
    </w:p>
    <w:p>
      <w:pPr>
        <w:spacing w:after="0" w:line="117" w:lineRule="exact"/>
        <w:rPr>
          <w:rFonts w:ascii="Arial" w:cs="Arial" w:eastAsia="Arial" w:hAnsi="Arial"/>
          <w:sz w:val="18"/>
          <w:szCs w:val="18"/>
          <w:color w:val="auto"/>
        </w:rPr>
      </w:pPr>
    </w:p>
    <w:p>
      <w:pPr>
        <w:ind w:left="920" w:right="80" w:firstLine="421"/>
        <w:spacing w:after="0" w:line="264" w:lineRule="auto"/>
        <w:tabs>
          <w:tab w:leader="none" w:pos="1595" w:val="left"/>
        </w:tabs>
        <w:numPr>
          <w:ilvl w:val="1"/>
          <w:numId w:val="361"/>
        </w:numPr>
        <w:rPr>
          <w:rFonts w:ascii="Arial" w:cs="Arial" w:eastAsia="Arial" w:hAnsi="Arial"/>
          <w:sz w:val="18"/>
          <w:szCs w:val="18"/>
          <w:color w:val="auto"/>
        </w:rPr>
      </w:pPr>
      <w:r>
        <w:rPr>
          <w:rFonts w:ascii="Arial" w:cs="Arial" w:eastAsia="Arial" w:hAnsi="Arial"/>
          <w:sz w:val="18"/>
          <w:szCs w:val="18"/>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such Person or any Restricted Subsidiary of such Person is a controlling general partner or otherwise controls such entity.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each Guarantor other than the Parent Guarantors.</w:t>
      </w:r>
    </w:p>
    <w:p>
      <w:pPr>
        <w:spacing w:after="0" w:line="225"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Facilities</w:t>
      </w:r>
      <w:r>
        <w:rPr>
          <w:rFonts w:ascii="Arial" w:cs="Arial" w:eastAsia="Arial" w:hAnsi="Arial"/>
          <w:sz w:val="16"/>
          <w:szCs w:val="16"/>
          <w:color w:val="auto"/>
        </w:rPr>
        <w:t>” means (A) (i) the senior secured B1 term loan facility in an aggregate principal amount of up to $3.25billion and; (ii) the senior secured B2 term loan facility in an aggregate principal amount of up to $3.25billion, entered into as of the Merger Date by and among, the Company, NXP Funding LLC, the other Restricted Subsidiaries party thereto, the lenders party thereto in their capacities as lenders thereunder and the administrative agent named therein, including any guarantees, collateral documents, instruments and agreements executed in connection therewith, and any amendments, supplements, modifications, extensions, renewals, restatements, refundings or refinancings thereof and any indentures or credit facilities or commercial paper facilities with banks or other institutional lenders or investors that replace, refund or refinance any part of the loans, notes, other credit facilities or commitments thereunder, including any such replacement, refunding or refinancing facility or indenture that increases the amount borrowable thereunder or alters the maturity thereof (provided that such increase in borrowings is permitted under Section 4.09 hereof); and (B) the Existing Term Loan Facilities.</w:t>
      </w:r>
    </w:p>
    <w:p>
      <w:pPr>
        <w:spacing w:after="0" w:line="166"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the total assets of the Company and its Restricted Subsidiaries, determined on a consolidated basis in accordance with GAAP, as shown on the most recent balance sheet of the Company or such other Person as may be expressly stated.</w:t>
      </w:r>
    </w:p>
    <w:p>
      <w:pPr>
        <w:spacing w:after="0" w:line="170"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means the transactions contemplated by the Transaction Agreement, the tender offer and consent solicitation relating to the Old Notes, the issuance of Existing Senior Notes and the Existing Senior Subordinated Notes and borrowings under the senior credit facilities agreement as in effect on the Transaction Date.</w:t>
      </w:r>
    </w:p>
    <w:p>
      <w:pPr>
        <w:spacing w:after="0" w:line="181"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w:t>
      </w:r>
      <w:r>
        <w:rPr>
          <w:rFonts w:ascii="Arial" w:cs="Arial" w:eastAsia="Arial" w:hAnsi="Arial"/>
          <w:sz w:val="18"/>
          <w:szCs w:val="18"/>
          <w:color w:val="auto"/>
        </w:rPr>
        <w:t>” means the Agreement and Plan of Merger, dated as of September 15, 2006 by and among the Issuer, Firestone Acquisition Corporation and Firestone Holdings LLC, as in effect on the Transaction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Date</w:t>
      </w:r>
      <w:r>
        <w:rPr>
          <w:rFonts w:ascii="Arial" w:cs="Arial" w:eastAsia="Arial" w:hAnsi="Arial"/>
          <w:sz w:val="18"/>
          <w:szCs w:val="18"/>
          <w:color w:val="auto"/>
        </w:rPr>
        <w:t>” means December 1, 2006.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Foreign Subsidiary</w:t>
      </w:r>
      <w:r>
        <w:rPr>
          <w:rFonts w:ascii="Arial" w:cs="Arial" w:eastAsia="Arial" w:hAnsi="Arial"/>
          <w:sz w:val="18"/>
          <w:szCs w:val="18"/>
          <w:color w:val="auto"/>
        </w:rPr>
        <w:t>” has the meaning specified in the definition of “Foreign Reorganization.”</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238" w:name="page239"/>
    <w:bookmarkEnd w:id="23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period from the Redemption Date to November 15, 2016;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period from the Redemption Date to such date is less than one year, the weekly average yield on actually traded United States Treasury securities adjusted to a constant maturity of one year will be used.</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Wells Fargo Bank, National Association, as trustee,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xml:space="preserve"> means the New York Uniform Commercial Code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Definitive Not</w:t>
      </w:r>
      <w:r>
        <w:rPr>
          <w:rFonts w:ascii="Arial" w:cs="Arial" w:eastAsia="Arial" w:hAnsi="Arial"/>
          <w:sz w:val="16"/>
          <w:szCs w:val="16"/>
          <w:color w:val="auto"/>
        </w:rPr>
        <w:t>e” means one or more Definitive Notes that do not bear and are not required to bear the Private Placement Legend.</w:t>
      </w:r>
    </w:p>
    <w:p>
      <w:pPr>
        <w:spacing w:after="0" w:line="24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Global Note</w:t>
      </w:r>
      <w:r>
        <w:rPr>
          <w:rFonts w:ascii="Arial" w:cs="Arial" w:eastAsia="Arial" w:hAnsi="Arial"/>
          <w:sz w:val="18"/>
          <w:szCs w:val="18"/>
          <w:color w:val="auto"/>
        </w:rPr>
        <w:t>” means a permanent Global Note, substantially in the form of Exhibit A attached hereto that bears the Global Note Legend and that has the “Schedule of Exchanges of Interests in the Global Note” attached thereto, and that is deposited with or on behalf of and registered in the name of the Depositary, representing Notes that do not bear the Private Placement Legend.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w:t>
      </w:r>
    </w:p>
    <w:p>
      <w:pPr>
        <w:spacing w:after="0" w:line="117" w:lineRule="exact"/>
        <w:rPr>
          <w:sz w:val="20"/>
          <w:szCs w:val="20"/>
          <w:color w:val="auto"/>
        </w:rPr>
      </w:pPr>
    </w:p>
    <w:p>
      <w:pPr>
        <w:ind w:left="460" w:right="60" w:firstLine="443"/>
        <w:spacing w:after="0" w:line="277" w:lineRule="auto"/>
        <w:tabs>
          <w:tab w:leader="none" w:pos="1153"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any Subsidiary of the Company which at the time of determination is an Unrestricted Subsidiary (as designated by the Company, as provided below);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any Subsidiary of an Unrestricted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Company may designate any Subsidiary of the Company (including any existing Subsidiary and any newly acquired or newly formed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Subsidiary but excluding the Issuer and any Subsidiary of the Company as to which the Issuer is a Subsidiary) to be an Unrestricted Subsidiary unless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Subsidiary or any of its Subsidiaries owns any Equity Interests or Indebtedness of, or owns or holds any Lien on, any property of, the Company or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Subsidiary of the Company (other than solely any Subsidiary of the Subsidiary to be so designated);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03" w:lineRule="exact"/>
        <w:rPr>
          <w:sz w:val="20"/>
          <w:szCs w:val="20"/>
          <w:color w:val="auto"/>
        </w:rPr>
      </w:pPr>
    </w:p>
    <w:p>
      <w:pPr>
        <w:ind w:left="460" w:firstLine="443"/>
        <w:spacing w:after="0" w:line="264" w:lineRule="auto"/>
        <w:tabs>
          <w:tab w:leader="none" w:pos="1153"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Unrestricted Subsidiary must be an entity of which the Equity Interests entitled to cast at least a majority of the votes that may be cast by all Equity Interests having ordinary voting power for the election of directors or Persons performing a similar function are owned, directly or indirectly, by the Company;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such designation complies with Section 4.07 hereof;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each of:</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Subsidiary to be so designated; and</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its Subsidiaries</w:t>
      </w:r>
    </w:p>
    <w:p>
      <w:pPr>
        <w:spacing w:after="0" w:line="117"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color w:val="auto"/>
        </w:rPr>
        <w:t>has not at the time of designation, and does not thereafter, create, incur, issue, assume, guarantee or otherwise become directly or indirectly liable with respect to any Indebtedness pursuant to which the lender has recourse to any of the assets of the Company or any Restricted Subsidiary.</w:t>
      </w:r>
    </w:p>
    <w:p>
      <w:pPr>
        <w:spacing w:after="0" w:line="124"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The Company may designate any Unrestricted Subsidiary to be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such designation, no Default shall have occurred and be continuing and either: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239" w:name="page240"/>
    <w:bookmarkEnd w:id="239"/>
    <w:p>
      <w:pPr>
        <w:ind w:left="460" w:right="220" w:firstLine="443"/>
        <w:spacing w:after="0" w:line="277" w:lineRule="auto"/>
        <w:tabs>
          <w:tab w:leader="none" w:pos="1153" w:val="left"/>
        </w:tabs>
        <w:numPr>
          <w:ilvl w:val="0"/>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could incur at least $1.00 of additional Indebtedness pursuant to the Fixed Charge Coverage Test described in Section 4.09(a) hereof; or</w:t>
      </w:r>
    </w:p>
    <w:p>
      <w:pPr>
        <w:spacing w:after="0" w:line="62" w:lineRule="exact"/>
        <w:rPr>
          <w:rFonts w:ascii="Arial" w:cs="Arial" w:eastAsia="Arial" w:hAnsi="Arial"/>
          <w:sz w:val="18"/>
          <w:szCs w:val="18"/>
          <w:color w:val="auto"/>
        </w:rPr>
      </w:pPr>
    </w:p>
    <w:p>
      <w:pPr>
        <w:ind w:left="460" w:right="60" w:firstLine="443"/>
        <w:spacing w:after="0" w:line="342" w:lineRule="auto"/>
        <w:tabs>
          <w:tab w:leader="none" w:pos="1153"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the Fixed Charge Coverage Ratio for the Company and its Restricted Subsidiaries would be equal to or greater than such ratio for the Company and its Restricted Subsidiaries immediately prior to such designation, in each case on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basis taking into account such designation.</w:t>
      </w:r>
    </w:p>
    <w:p>
      <w:pPr>
        <w:spacing w:after="0" w:line="12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Any such designation by the Company shall be notified by the Company to the Trustee by promptly filing with the Trustee a copy of the resolution of the board of directors of the Company or any committee thereof giving effect to such designation and an Officer’s Certificate certifying that such designation complied with the foregoing provisions.</w:t>
      </w:r>
    </w:p>
    <w:p>
      <w:pPr>
        <w:spacing w:after="0" w:line="181" w:lineRule="exact"/>
        <w:rPr>
          <w:sz w:val="20"/>
          <w:szCs w:val="20"/>
          <w:color w:val="auto"/>
        </w:rPr>
      </w:pPr>
    </w:p>
    <w:p>
      <w:pPr>
        <w:ind w:right="32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Dollar Equivalent</w:t>
      </w:r>
      <w:r>
        <w:rPr>
          <w:rFonts w:ascii="Arial" w:cs="Arial" w:eastAsia="Arial" w:hAnsi="Arial"/>
          <w:sz w:val="16"/>
          <w:szCs w:val="16"/>
          <w:color w:val="auto"/>
        </w:rPr>
        <w:t>” means, with respect to any monetary amount in a currency other than U.S. dollars, at any time for the determination thereof, the amount of U.S. dollars obtained by converting such foreign currency involved in such computation into U.S. dollars at the spot rate for the purchase of U.S. dollars with the applicable foreign currency as quoted by Reuters at approximately 10:00 A.M. (New York City time) on such date of determination (or if no such quote is available on such date, on the immediately preceding Business Day for which such a quote is available).</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U.S. person as defined in Rule 902(k) under the Securities Act.</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Indebtedness, Disqualified Stock or Preferred Stock, as the case may be, at any date, the quotient obtained by dividing:</w:t>
      </w:r>
    </w:p>
    <w:p>
      <w:pPr>
        <w:spacing w:after="0" w:line="62" w:lineRule="exact"/>
        <w:rPr>
          <w:sz w:val="20"/>
          <w:szCs w:val="20"/>
          <w:color w:val="auto"/>
        </w:rPr>
      </w:pPr>
    </w:p>
    <w:p>
      <w:pPr>
        <w:ind w:left="460" w:right="180" w:firstLine="443"/>
        <w:spacing w:after="0" w:line="264" w:lineRule="auto"/>
        <w:tabs>
          <w:tab w:leader="none" w:pos="115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sum of all such payments.</w:t>
      </w:r>
    </w:p>
    <w:p>
      <w:pPr>
        <w:spacing w:after="0" w:line="225"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with respect to a Subsidiary of any Person, a Subsidiary of such Person, 100% of the outstanding Equity Interests of which (other than directors’ qualifying shares) shall at the time be owned by such Person or by one or more Wholly-Owned Subsidiaries of such Person.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color w:val="auto"/>
                <w:w w:val="91"/>
              </w:rPr>
              <w:t>Term</w:t>
            </w:r>
          </w:p>
        </w:tc>
        <w:tc>
          <w:tcPr>
            <w:tcW w:w="3780" w:type="dxa"/>
            <w:vAlign w:val="bottom"/>
            <w:vMerge w:val="restart"/>
          </w:tcPr>
          <w:p>
            <w:pPr>
              <w:spacing w:after="0"/>
              <w:rPr>
                <w:sz w:val="14"/>
                <w:szCs w:val="14"/>
                <w:color w:val="auto"/>
              </w:rPr>
            </w:pPr>
          </w:p>
        </w:tc>
        <w:tc>
          <w:tcPr>
            <w:tcW w:w="66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Defined</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6640" w:type="dxa"/>
            <w:vAlign w:val="bottom"/>
          </w:tcPr>
          <w:p>
            <w:pPr>
              <w:spacing w:after="0"/>
              <w:rPr>
                <w:sz w:val="15"/>
                <w:szCs w:val="15"/>
                <w:color w:val="auto"/>
              </w:rPr>
            </w:pPr>
          </w:p>
        </w:tc>
        <w:tc>
          <w:tcPr>
            <w:tcW w:w="600" w:type="dxa"/>
            <w:vAlign w:val="bottom"/>
            <w:gridSpan w:val="2"/>
          </w:tcPr>
          <w:p>
            <w:pPr>
              <w:jc w:val="right"/>
              <w:ind w:right="20"/>
              <w:spacing w:after="0" w:line="154" w:lineRule="exact"/>
              <w:rPr>
                <w:sz w:val="20"/>
                <w:szCs w:val="20"/>
                <w:color w:val="auto"/>
              </w:rPr>
            </w:pPr>
            <w:r>
              <w:rPr>
                <w:rFonts w:ascii="Arial" w:cs="Arial" w:eastAsia="Arial" w:hAnsi="Arial"/>
                <w:sz w:val="14"/>
                <w:szCs w:val="14"/>
                <w:color w:val="auto"/>
                <w:w w:val="91"/>
              </w:rPr>
              <w:t>in Section</w:t>
            </w:r>
          </w:p>
        </w:tc>
        <w:tc>
          <w:tcPr>
            <w:tcW w:w="0" w:type="dxa"/>
            <w:vAlign w:val="bottom"/>
          </w:tcPr>
          <w:p>
            <w:pPr>
              <w:spacing w:after="0"/>
              <w:rPr>
                <w:sz w:val="1"/>
                <w:szCs w:val="1"/>
                <w:color w:val="auto"/>
              </w:rPr>
            </w:pPr>
          </w:p>
        </w:tc>
      </w:tr>
      <w:tr>
        <w:trPr>
          <w:trHeight w:val="189"/>
        </w:trPr>
        <w:tc>
          <w:tcPr>
            <w:tcW w:w="4100" w:type="dxa"/>
            <w:vAlign w:val="bottom"/>
            <w:gridSpan w:val="2"/>
          </w:tcPr>
          <w:p>
            <w:pPr>
              <w:spacing w:after="0" w:line="189" w:lineRule="exact"/>
              <w:rPr>
                <w:sz w:val="20"/>
                <w:szCs w:val="20"/>
                <w:color w:val="auto"/>
              </w:rPr>
            </w:pPr>
            <w:r>
              <w:rPr>
                <w:rFonts w:ascii="Arial" w:cs="Arial" w:eastAsia="Arial" w:hAnsi="Arial"/>
                <w:sz w:val="18"/>
                <w:szCs w:val="18"/>
                <w:color w:val="auto"/>
              </w:rPr>
              <w:t>“Acceptable Commitment”</w:t>
            </w:r>
          </w:p>
        </w:tc>
        <w:tc>
          <w:tcPr>
            <w:tcW w:w="6640" w:type="dxa"/>
            <w:vAlign w:val="bottom"/>
          </w:tcPr>
          <w:p>
            <w:pPr>
              <w:spacing w:after="0"/>
              <w:rPr>
                <w:sz w:val="16"/>
                <w:szCs w:val="16"/>
                <w:color w:val="auto"/>
              </w:rPr>
            </w:pPr>
          </w:p>
        </w:tc>
        <w:tc>
          <w:tcPr>
            <w:tcW w:w="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“Affiliate Transaction”</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“Asset Sale Offer”</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“Authentication Order”</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“Change of Control Offer”</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“Change of Control Payment”</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“Change of Control Payment Date”</w:t>
            </w:r>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640" w:type="dxa"/>
            <w:vAlign w:val="bottom"/>
          </w:tcPr>
          <w:p>
            <w:pPr>
              <w:jc w:val="right"/>
              <w:ind w:right="485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color w:val="auto"/>
                <w:w w:val="91"/>
              </w:rPr>
              <w:t>Term</w:t>
            </w:r>
          </w:p>
        </w:tc>
        <w:tc>
          <w:tcPr>
            <w:tcW w:w="10420" w:type="dxa"/>
            <w:vAlign w:val="bottom"/>
            <w:vMerge w:val="restart"/>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Defined</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10420" w:type="dxa"/>
            <w:vAlign w:val="bottom"/>
            <w:vMerge w:val="continue"/>
          </w:tcPr>
          <w:p>
            <w:pPr>
              <w:spacing w:after="0"/>
              <w:rPr>
                <w:sz w:val="15"/>
                <w:szCs w:val="15"/>
                <w:color w:val="auto"/>
              </w:rPr>
            </w:pPr>
          </w:p>
        </w:tc>
        <w:tc>
          <w:tcPr>
            <w:tcW w:w="600" w:type="dxa"/>
            <w:vAlign w:val="bottom"/>
            <w:gridSpan w:val="2"/>
          </w:tcPr>
          <w:p>
            <w:pPr>
              <w:jc w:val="right"/>
              <w:ind w:right="20"/>
              <w:spacing w:after="0" w:line="154" w:lineRule="exact"/>
              <w:rPr>
                <w:sz w:val="20"/>
                <w:szCs w:val="20"/>
                <w:color w:val="auto"/>
              </w:rPr>
            </w:pPr>
            <w:r>
              <w:rPr>
                <w:rFonts w:ascii="Arial" w:cs="Arial" w:eastAsia="Arial" w:hAnsi="Arial"/>
                <w:sz w:val="14"/>
                <w:szCs w:val="14"/>
                <w:color w:val="auto"/>
                <w:w w:val="91"/>
              </w:rPr>
              <w:t>in Section</w:t>
            </w:r>
          </w:p>
        </w:tc>
        <w:tc>
          <w:tcPr>
            <w:tcW w:w="0" w:type="dxa"/>
            <w:vAlign w:val="bottom"/>
          </w:tcPr>
          <w:p>
            <w:pPr>
              <w:spacing w:after="0"/>
              <w:rPr>
                <w:sz w:val="1"/>
                <w:szCs w:val="1"/>
                <w:color w:val="auto"/>
              </w:rPr>
            </w:pPr>
          </w:p>
        </w:tc>
      </w:tr>
      <w:tr>
        <w:trPr>
          <w:trHeight w:val="189"/>
        </w:trPr>
        <w:tc>
          <w:tcPr>
            <w:tcW w:w="10740" w:type="dxa"/>
            <w:vAlign w:val="bottom"/>
            <w:gridSpan w:val="2"/>
          </w:tcPr>
          <w:p>
            <w:pPr>
              <w:spacing w:after="0" w:line="189" w:lineRule="exact"/>
              <w:rPr>
                <w:sz w:val="20"/>
                <w:szCs w:val="20"/>
                <w:color w:val="auto"/>
              </w:rPr>
            </w:pPr>
            <w:r>
              <w:rPr>
                <w:rFonts w:ascii="Arial" w:cs="Arial" w:eastAsia="Arial" w:hAnsi="Arial"/>
                <w:sz w:val="18"/>
                <w:szCs w:val="18"/>
                <w:color w:val="auto"/>
              </w:rPr>
              <w:t>“Covenant Defeasance”</w:t>
            </w:r>
          </w:p>
        </w:tc>
        <w:tc>
          <w:tcPr>
            <w:tcW w:w="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8.03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“Covenant Suspension Event”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“DTC”</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“Excess Proceeds”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“Excluded Assets”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“Fixed Charge Coverage Test”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“Foreign Payor”</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“incur”</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“Initial Lien”</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“Note Register”</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“Offer Amount”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“Offer Period”</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“Purchase Date”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“Redemption Date”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“Refinancing Indebtedness”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“Refunding Capital Stock”</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“Relevant Taxing Jurisdiction”</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“Restricted Payments”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“Reversion Date”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“Second Commitment”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“Successor Company”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“Successor Guarantor”</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“Successor Person”</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“Suspended Covenants”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“Suspension Date”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“Suspension Period”</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10740" w:type="dxa"/>
            <w:vAlign w:val="bottom"/>
            <w:gridSpan w:val="2"/>
          </w:tcPr>
          <w:p>
            <w:pPr>
              <w:spacing w:after="0"/>
              <w:rPr>
                <w:sz w:val="20"/>
                <w:szCs w:val="20"/>
                <w:color w:val="auto"/>
              </w:rPr>
            </w:pPr>
            <w:r>
              <w:rPr>
                <w:rFonts w:ascii="Arial" w:cs="Arial" w:eastAsia="Arial" w:hAnsi="Arial"/>
                <w:sz w:val="18"/>
                <w:szCs w:val="18"/>
                <w:color w:val="auto"/>
              </w:rPr>
              <w:t>“Taxes”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10740" w:type="dxa"/>
            <w:vAlign w:val="bottom"/>
            <w:gridSpan w:val="2"/>
          </w:tcPr>
          <w:p>
            <w:pPr>
              <w:spacing w:after="0"/>
              <w:rPr>
                <w:sz w:val="20"/>
                <w:szCs w:val="20"/>
                <w:color w:val="auto"/>
              </w:rPr>
            </w:pPr>
            <w:r>
              <w:rPr>
                <w:rFonts w:ascii="Arial" w:cs="Arial" w:eastAsia="Arial" w:hAnsi="Arial"/>
                <w:sz w:val="18"/>
                <w:szCs w:val="18"/>
                <w:color w:val="auto"/>
              </w:rPr>
              <w:t>“Treasury Capital Stock”</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Unless the context otherwise requires:</w:t>
      </w:r>
    </w:p>
    <w:p>
      <w:pPr>
        <w:spacing w:after="0" w:line="117" w:lineRule="exact"/>
        <w:rPr>
          <w:sz w:val="20"/>
          <w:szCs w:val="20"/>
          <w:color w:val="auto"/>
        </w:rPr>
      </w:pPr>
    </w:p>
    <w:p>
      <w:pPr>
        <w:ind w:left="1160" w:hanging="239"/>
        <w:spacing w:after="0"/>
        <w:tabs>
          <w:tab w:leader="none" w:pos="11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117"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shall be deemed to include substitute, replacement or successor sections or rules adopted by the SEC from time to time;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257" w:right="339" w:bottom="1440" w:gutter="0" w:footer="0" w:header="0"/>
        </w:sectPr>
      </w:pPr>
    </w:p>
    <w:bookmarkStart w:id="241" w:name="page242"/>
    <w:bookmarkEnd w:id="241"/>
    <w:p>
      <w:pPr>
        <w:ind w:left="-60" w:right="180" w:firstLine="921"/>
        <w:spacing w:after="0" w:line="277" w:lineRule="auto"/>
        <w:tabs>
          <w:tab w:leader="none" w:pos="1068" w:val="left"/>
        </w:tabs>
        <w:numPr>
          <w:ilvl w:val="0"/>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context otherwise requires, any reference to an “Article,” “Section” or “clause” refers to an Article, Section or clause, as the case may be, of this Indenture; and</w:t>
      </w:r>
    </w:p>
    <w:p>
      <w:pPr>
        <w:spacing w:after="0" w:line="62" w:lineRule="exact"/>
        <w:rPr>
          <w:rFonts w:ascii="Arial" w:cs="Arial" w:eastAsia="Arial" w:hAnsi="Arial"/>
          <w:sz w:val="18"/>
          <w:szCs w:val="18"/>
          <w:color w:val="auto"/>
        </w:rPr>
      </w:pPr>
    </w:p>
    <w:p>
      <w:pPr>
        <w:ind w:left="-60" w:right="420" w:firstLine="921"/>
        <w:spacing w:after="0" w:line="277" w:lineRule="auto"/>
        <w:tabs>
          <w:tab w:leader="none" w:pos="106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any particular Article, Section, clause or other subdivision.</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117" w:lineRule="exact"/>
        <w:rPr>
          <w:sz w:val="20"/>
          <w:szCs w:val="20"/>
          <w:color w:val="auto"/>
        </w:rPr>
      </w:pPr>
    </w:p>
    <w:p>
      <w:pPr>
        <w:ind w:left="-60" w:firstLine="921"/>
        <w:spacing w:after="0" w:line="273" w:lineRule="auto"/>
        <w:tabs>
          <w:tab w:leader="none" w:pos="1098" w:val="left"/>
        </w:tabs>
        <w:numPr>
          <w:ilvl w:val="0"/>
          <w:numId w:val="368"/>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Proof of execution of any such instrument or of a writing appointing any such agent, or the holding by any Person of a Note, shall be sufficient for any purpose of this Indenture and (subject to Section 7.01) conclusive in favor of the Trustee and the Issuer, if made in the manner provided in this Section 1.04.</w:t>
      </w:r>
    </w:p>
    <w:p>
      <w:pPr>
        <w:spacing w:after="0" w:line="70" w:lineRule="exact"/>
        <w:rPr>
          <w:rFonts w:ascii="Arial" w:cs="Arial" w:eastAsia="Arial" w:hAnsi="Arial"/>
          <w:sz w:val="17"/>
          <w:szCs w:val="17"/>
          <w:color w:val="auto"/>
        </w:rPr>
      </w:pPr>
    </w:p>
    <w:p>
      <w:pPr>
        <w:ind w:left="-60" w:firstLine="921"/>
        <w:spacing w:after="0" w:line="297" w:lineRule="auto"/>
        <w:tabs>
          <w:tab w:leader="none" w:pos="1108"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50" w:lineRule="exact"/>
        <w:rPr>
          <w:rFonts w:ascii="Arial" w:cs="Arial" w:eastAsia="Arial" w:hAnsi="Arial"/>
          <w:sz w:val="16"/>
          <w:szCs w:val="16"/>
          <w:color w:val="auto"/>
        </w:rPr>
      </w:pPr>
    </w:p>
    <w:p>
      <w:pPr>
        <w:ind w:left="1100" w:hanging="239"/>
        <w:spacing w:after="0"/>
        <w:tabs>
          <w:tab w:leader="none" w:pos="11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w:t>
      </w:r>
    </w:p>
    <w:p>
      <w:pPr>
        <w:spacing w:after="0" w:line="117" w:lineRule="exact"/>
        <w:rPr>
          <w:rFonts w:ascii="Arial" w:cs="Arial" w:eastAsia="Arial" w:hAnsi="Arial"/>
          <w:sz w:val="18"/>
          <w:szCs w:val="18"/>
          <w:color w:val="auto"/>
        </w:rPr>
      </w:pPr>
    </w:p>
    <w:p>
      <w:pPr>
        <w:ind w:left="-60" w:right="120" w:firstLine="921"/>
        <w:spacing w:after="0" w:line="259" w:lineRule="auto"/>
        <w:tabs>
          <w:tab w:leader="none" w:pos="110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the Collateral Agent or the Issuer in reliance thereon, whether or not notation of such action is made upon such Note.</w:t>
      </w:r>
    </w:p>
    <w:p>
      <w:pPr>
        <w:spacing w:after="0" w:line="78" w:lineRule="exact"/>
        <w:rPr>
          <w:rFonts w:ascii="Arial" w:cs="Arial" w:eastAsia="Arial" w:hAnsi="Arial"/>
          <w:sz w:val="18"/>
          <w:szCs w:val="18"/>
          <w:color w:val="auto"/>
        </w:rPr>
      </w:pPr>
    </w:p>
    <w:p>
      <w:pPr>
        <w:ind w:left="-60" w:right="100" w:firstLine="921"/>
        <w:spacing w:after="0" w:line="264" w:lineRule="auto"/>
        <w:tabs>
          <w:tab w:leader="none" w:pos="109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w:t>
      </w:r>
    </w:p>
    <w:p>
      <w:pPr>
        <w:spacing w:after="0" w:line="73" w:lineRule="exact"/>
        <w:rPr>
          <w:rFonts w:ascii="Arial" w:cs="Arial" w:eastAsia="Arial" w:hAnsi="Arial"/>
          <w:sz w:val="18"/>
          <w:szCs w:val="18"/>
          <w:color w:val="auto"/>
        </w:rPr>
      </w:pPr>
    </w:p>
    <w:p>
      <w:pPr>
        <w:ind w:left="-60" w:firstLine="921"/>
        <w:spacing w:after="0" w:line="279" w:lineRule="auto"/>
        <w:tabs>
          <w:tab w:leader="none" w:pos="1078" w:val="left"/>
        </w:tabs>
        <w:numPr>
          <w:ilvl w:val="0"/>
          <w:numId w:val="368"/>
        </w:numPr>
        <w:rPr>
          <w:rFonts w:ascii="Arial" w:cs="Arial" w:eastAsia="Arial" w:hAnsi="Arial"/>
          <w:sz w:val="17"/>
          <w:szCs w:val="17"/>
          <w:color w:val="auto"/>
        </w:rPr>
      </w:pPr>
      <w:r>
        <w:rPr>
          <w:rFonts w:ascii="Arial" w:cs="Arial" w:eastAsia="Arial" w:hAnsi="Arial"/>
          <w:sz w:val="17"/>
          <w:szCs w:val="17"/>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spacing w:after="0" w:line="63" w:lineRule="exact"/>
        <w:rPr>
          <w:rFonts w:ascii="Arial" w:cs="Arial" w:eastAsia="Arial" w:hAnsi="Arial"/>
          <w:sz w:val="17"/>
          <w:szCs w:val="17"/>
          <w:color w:val="auto"/>
        </w:rPr>
      </w:pPr>
    </w:p>
    <w:p>
      <w:pPr>
        <w:ind w:left="-60" w:right="160" w:firstLine="921"/>
        <w:spacing w:after="0" w:line="259" w:lineRule="auto"/>
        <w:tabs>
          <w:tab w:leader="none" w:pos="110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a Holder, including DTC, may make, give or take, by a proxy or proxies duly appointed in writing, any request, demand, authorization, direction, notice, consent, waiver or other action provided in this Indenture to be made, given or taken by Holders, and DTC may provide its proxy to the beneficial owners of interests in any such Global Note through such depositary’s standing instructions and customary practices.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300" w:top="274" w:right="299" w:bottom="1440" w:gutter="0" w:footer="0" w:header="0"/>
        </w:sectPr>
      </w:pPr>
    </w:p>
    <w:bookmarkStart w:id="242" w:name="page243"/>
    <w:bookmarkEnd w:id="242"/>
    <w:p>
      <w:pPr>
        <w:ind w:firstLine="921"/>
        <w:spacing w:after="0" w:line="293" w:lineRule="auto"/>
        <w:tabs>
          <w:tab w:leader="none" w:pos="1168" w:val="left"/>
        </w:tabs>
        <w:numPr>
          <w:ilvl w:val="0"/>
          <w:numId w:val="3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NOTES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 and Dating; Terms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64" w:lineRule="auto"/>
        <w:tabs>
          <w:tab w:leader="none" w:pos="1157" w:val="left"/>
        </w:tabs>
        <w:numPr>
          <w:ilvl w:val="1"/>
          <w:numId w:val="37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Notes and the Trustee’s certificate of authentication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Notes may have notations, legends or endorsements required by law, stock exchange rules or usage. Each Note shall be dated the date of its authentication. The Notes shall be in minimum denominations of $2,000 and integral multiples of $1,000 in excess thereof.</w:t>
      </w:r>
    </w:p>
    <w:p>
      <w:pPr>
        <w:spacing w:after="0" w:line="73" w:lineRule="exact"/>
        <w:rPr>
          <w:rFonts w:ascii="Arial" w:cs="Arial" w:eastAsia="Arial" w:hAnsi="Arial"/>
          <w:sz w:val="18"/>
          <w:szCs w:val="18"/>
          <w:color w:val="auto"/>
        </w:rPr>
      </w:pPr>
    </w:p>
    <w:p>
      <w:pPr>
        <w:ind w:right="20" w:firstLine="921"/>
        <w:spacing w:after="0" w:line="253" w:lineRule="auto"/>
        <w:tabs>
          <w:tab w:leader="none" w:pos="1168" w:val="left"/>
        </w:tabs>
        <w:numPr>
          <w:ilvl w:val="1"/>
          <w:numId w:val="370"/>
        </w:numPr>
        <w:rPr>
          <w:rFonts w:ascii="Arial" w:cs="Arial" w:eastAsia="Arial" w:hAnsi="Arial"/>
          <w:sz w:val="18"/>
          <w:szCs w:val="18"/>
          <w:color w:val="auto"/>
        </w:rPr>
      </w:pPr>
      <w:r>
        <w:rPr>
          <w:rFonts w:ascii="Arial" w:cs="Arial" w:eastAsia="Arial" w:hAnsi="Arial"/>
          <w:sz w:val="18"/>
          <w:szCs w:val="18"/>
          <w:u w:val="single" w:color="auto"/>
          <w:color w:val="auto"/>
        </w:rPr>
        <w:t>Global Notes</w:t>
      </w:r>
      <w:r>
        <w:rPr>
          <w:rFonts w:ascii="Arial" w:cs="Arial" w:eastAsia="Arial" w:hAnsi="Arial"/>
          <w:sz w:val="18"/>
          <w:szCs w:val="18"/>
          <w:color w:val="auto"/>
        </w:rPr>
        <w:t xml:space="preserve">. Notes issued in global form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(including the Global Note Legend thereon and the “Schedule of Exchanges of Interests in the Global Note” attached thereto). Notes issued in definitive form shall be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hereto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89" w:lineRule="exact"/>
        <w:rPr>
          <w:rFonts w:ascii="Arial" w:cs="Arial" w:eastAsia="Arial" w:hAnsi="Arial"/>
          <w:sz w:val="18"/>
          <w:szCs w:val="18"/>
          <w:color w:val="auto"/>
        </w:rPr>
      </w:pPr>
    </w:p>
    <w:p>
      <w:pPr>
        <w:ind w:right="80" w:firstLine="921"/>
        <w:spacing w:after="0" w:line="302" w:lineRule="auto"/>
        <w:tabs>
          <w:tab w:leader="none" w:pos="1157" w:val="left"/>
        </w:tabs>
        <w:numPr>
          <w:ilvl w:val="1"/>
          <w:numId w:val="370"/>
        </w:numPr>
        <w:rPr>
          <w:rFonts w:ascii="Arial" w:cs="Arial" w:eastAsia="Arial" w:hAnsi="Arial"/>
          <w:sz w:val="16"/>
          <w:szCs w:val="16"/>
          <w:color w:val="auto"/>
        </w:rPr>
      </w:pPr>
      <w:r>
        <w:rPr>
          <w:rFonts w:ascii="Arial" w:cs="Arial" w:eastAsia="Arial" w:hAnsi="Arial"/>
          <w:sz w:val="16"/>
          <w:szCs w:val="16"/>
          <w:u w:val="single" w:color="auto"/>
          <w:color w:val="auto"/>
        </w:rPr>
        <w:t>Temporary Global Notes</w:t>
      </w:r>
      <w:r>
        <w:rPr>
          <w:rFonts w:ascii="Arial" w:cs="Arial" w:eastAsia="Arial" w:hAnsi="Arial"/>
          <w:sz w:val="16"/>
          <w:szCs w:val="16"/>
          <w:color w:val="auto"/>
        </w:rPr>
        <w:t>. Notes offered and sold in reliance on Regulation S shall be issued initially in the form of the Regulation S Temporary Global Note, which shall be deposited on behalf of the purchasers of the Notes represented thereby with the Custodian and registered in the name of the Depositary or the nominee of the Depositary for the accounts of designated agents holding on behalf of Euroclear or Clearstream, duly executed by the Issuer and authenticated by the Trustee as hereinafter provided. The Restricted Period shall be terminated upon the receipt by the Trustee of:</w:t>
      </w:r>
    </w:p>
    <w:p>
      <w:pPr>
        <w:spacing w:after="0" w:line="46" w:lineRule="exact"/>
        <w:rPr>
          <w:rFonts w:ascii="Arial" w:cs="Arial" w:eastAsia="Arial" w:hAnsi="Arial"/>
          <w:sz w:val="16"/>
          <w:szCs w:val="16"/>
          <w:color w:val="auto"/>
        </w:rPr>
      </w:pPr>
    </w:p>
    <w:p>
      <w:pPr>
        <w:ind w:left="460" w:right="20" w:firstLine="443"/>
        <w:spacing w:after="0" w:line="257" w:lineRule="auto"/>
        <w:tabs>
          <w:tab w:leader="none" w:pos="111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 written certificate from the Depositary, together with copies of certificates from Euroclear and Clearstream certifying that they have received certification of non-United States beneficial ownership of 100% of the aggregate principal amount of each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bearing a Private Placement Legend, all as contemplated by Section 2.06(b) hereof); and</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 Officer’s Certificate from the Issuer.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243" w:name="page244"/>
    <w:bookmarkEnd w:id="243"/>
    <w:p>
      <w:pPr>
        <w:ind w:right="6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termination of the Restricted Period, beneficial interests in each Regulation S Temporary Global Note shall be exchanged for beneficial interests in a Regulation S Permanent Global Note of the same series pursuant to the Applicable Procedures. Simultaneously with the authentication of the corresponding Regulation S Permanent Global Note, the Trustee shall cancel the corresponding Regulation S Temporary Global Note. The aggregate principal amount of a Regulation S Temporary Global Note and a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Terms</w:t>
      </w:r>
      <w:r>
        <w:rPr>
          <w:rFonts w:ascii="Arial" w:cs="Arial" w:eastAsia="Arial" w:hAnsi="Arial"/>
          <w:sz w:val="18"/>
          <w:szCs w:val="18"/>
          <w:color w:val="auto"/>
        </w:rPr>
        <w:t>. The aggregate principal amount of Notes that may be authenticated and delivered under this Indenture is unlimited.</w:t>
      </w:r>
    </w:p>
    <w:p>
      <w:pPr>
        <w:spacing w:after="0" w:line="225"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The terms and provisions contained in the Notes shall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Notes shall be subject to repurchase by the Issuer pursuant to an Asset Sale Offer as provided in Section 4.10 hereof or a Change of Control Offer as provided in Section 4.14 hereof. The Notes shall not be redeemable, other than as provided in Article 3 hereof.</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Additional Notes ranking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the Initial Notes may be created and issued from time to time by the Issuer without notice to or consent of the Holders and shall be consolidated with and form a single class with the Initial Notes and shall have the same terms as to status, redemption or otherwise as the Initial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Issuer’s ability to issue Additional Notes shall be subject to the Issuer’s compliance with Section 4.09 hereof. Any Additional Notes shall be issued with the benefit of an indenture supplemental to this Indenture.</w:t>
      </w:r>
    </w:p>
    <w:p>
      <w:pPr>
        <w:spacing w:after="0" w:line="18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 At least one Officer of the Issuer shall execute the Notes on behalf of the Issuer by manual or facsimile signature.</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If an Officer of the Issuer whose signature is on a Note no longer holds that office at the time the Trustee authenticates the Note, the Note shall nevertheless be valid.</w:t>
      </w:r>
    </w:p>
    <w:p>
      <w:pPr>
        <w:spacing w:after="0" w:line="17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A Note shall not be entitled to any benefit under this Indenture or be valid or obligatory for any purpose until authenticated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by the manual signature of the Trustee. The signature shall be conclusive evidence that the Note has been duly authenticated and delivered under this Indenture.</w:t>
      </w:r>
    </w:p>
    <w:p>
      <w:pPr>
        <w:spacing w:after="0" w:line="181" w:lineRule="exact"/>
        <w:rPr>
          <w:sz w:val="20"/>
          <w:szCs w:val="20"/>
          <w:color w:val="auto"/>
        </w:rPr>
      </w:pPr>
    </w:p>
    <w:p>
      <w:pPr>
        <w:ind w:right="280" w:firstLine="913"/>
        <w:spacing w:after="0" w:line="286" w:lineRule="auto"/>
        <w:rPr>
          <w:sz w:val="20"/>
          <w:szCs w:val="20"/>
          <w:color w:val="auto"/>
        </w:rPr>
      </w:pPr>
      <w:r>
        <w:rPr>
          <w:rFonts w:ascii="Arial" w:cs="Arial" w:eastAsia="Arial" w:hAnsi="Arial"/>
          <w:sz w:val="17"/>
          <w:szCs w:val="17"/>
          <w:color w:val="auto"/>
        </w:rPr>
        <w:t>On the Issue Date, the Trustee shall, upon receipt of an Issuer Order (an “</w:t>
      </w:r>
      <w:r>
        <w:rPr>
          <w:rFonts w:ascii="Arial" w:cs="Arial" w:eastAsia="Arial" w:hAnsi="Arial"/>
          <w:sz w:val="17"/>
          <w:szCs w:val="17"/>
          <w:u w:val="single" w:color="auto"/>
          <w:color w:val="auto"/>
        </w:rPr>
        <w:t>Authentication Order</w:t>
      </w:r>
      <w:r>
        <w:rPr>
          <w:rFonts w:ascii="Arial" w:cs="Arial" w:eastAsia="Arial" w:hAnsi="Arial"/>
          <w:sz w:val="17"/>
          <w:szCs w:val="17"/>
          <w:color w:val="auto"/>
        </w:rPr>
        <w:t>”), authenticate and deliver the Initial Notes. In addition, at any time, from time to time, the Trustee shall upon an Authentication Order authenticate and deliver any Additional Notes for an aggregate principal amount specified in such Authentication Order for such Additional Notes issued or increased hereunder.</w:t>
      </w:r>
    </w:p>
    <w:p>
      <w:pPr>
        <w:spacing w:after="0" w:line="166"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 (a) The Issuer shall maintain (i) an office or agency where Notes may be presented for registration of transfer or for exchange (“</w:t>
      </w:r>
      <w:r>
        <w:rPr>
          <w:rFonts w:ascii="Arial" w:cs="Arial" w:eastAsia="Arial" w:hAnsi="Arial"/>
          <w:sz w:val="18"/>
          <w:szCs w:val="18"/>
          <w:u w:val="single" w:color="auto"/>
          <w:color w:val="auto"/>
        </w:rPr>
        <w:t>Registrar</w:t>
      </w:r>
      <w:r>
        <w:rPr>
          <w:rFonts w:ascii="Arial" w:cs="Arial" w:eastAsia="Arial" w:hAnsi="Arial"/>
          <w:sz w:val="18"/>
          <w:szCs w:val="18"/>
          <w:color w:val="auto"/>
        </w:rPr>
        <w:t>”) and (ii) an office or agency where Notes may be presented for payment (“</w:t>
      </w:r>
      <w:r>
        <w:rPr>
          <w:rFonts w:ascii="Arial" w:cs="Arial" w:eastAsia="Arial" w:hAnsi="Arial"/>
          <w:sz w:val="18"/>
          <w:szCs w:val="18"/>
          <w:u w:val="single" w:color="auto"/>
          <w:color w:val="auto"/>
        </w:rPr>
        <w:t>Paying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244" w:name="page245"/>
    <w:bookmarkEnd w:id="244"/>
    <w:p>
      <w:pPr>
        <w:ind w:right="30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w:t>
      </w:r>
      <w:r>
        <w:rPr>
          <w:rFonts w:ascii="Arial" w:cs="Arial" w:eastAsia="Arial" w:hAnsi="Arial"/>
          <w:sz w:val="18"/>
          <w:szCs w:val="18"/>
          <w:color w:val="auto"/>
        </w:rPr>
        <w:t>”). The Registrar shall keep a register of the Notes (“</w:t>
      </w:r>
      <w:r>
        <w:rPr>
          <w:rFonts w:ascii="Arial" w:cs="Arial" w:eastAsia="Arial" w:hAnsi="Arial"/>
          <w:sz w:val="18"/>
          <w:szCs w:val="18"/>
          <w:u w:val="single" w:color="auto"/>
          <w:color w:val="auto"/>
        </w:rPr>
        <w:t>Note Register</w:t>
      </w:r>
      <w:r>
        <w:rPr>
          <w:rFonts w:ascii="Arial" w:cs="Arial" w:eastAsia="Arial" w:hAnsi="Arial"/>
          <w:sz w:val="18"/>
          <w:szCs w:val="18"/>
          <w:color w:val="auto"/>
        </w:rPr>
        <w:t>”) and of their transfer and exchange. The Issuer may appoint one or more co-registrars and one or more additional paying agents. The term “Registrar” includes any co-registrar, and the term “</w:t>
      </w:r>
      <w:r>
        <w:rPr>
          <w:rFonts w:ascii="Arial" w:cs="Arial" w:eastAsia="Arial" w:hAnsi="Arial"/>
          <w:sz w:val="18"/>
          <w:szCs w:val="18"/>
          <w:u w:val="single" w:color="auto"/>
          <w:color w:val="auto"/>
        </w:rPr>
        <w:t>Paying Agent</w:t>
      </w:r>
      <w:r>
        <w:rPr>
          <w:rFonts w:ascii="Arial" w:cs="Arial" w:eastAsia="Arial" w:hAnsi="Arial"/>
          <w:sz w:val="18"/>
          <w:szCs w:val="18"/>
          <w:color w:val="auto"/>
        </w:rPr>
        <w:t>” includes any additional paying agents. The Issuer initially appoints the Trustee as Paying Agent. The Issuer may change any Paying Agent or Registrar without prior notice to any Holder. The Issuer shall notify the Trustee in writing of the name and address of any Agent not a party to this Indenture. If the Issuer fails to appoint or maintain another entity as Registrar or Paying Agent, the Trustee shall, to the extent that it is capable, act as such. The Issuer or any of its domestic Subsidiaries may act as Paying Agent or Registrar.</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The Issuer initially appoints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to act as Depositary with respect to the Global Notes representing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The Issuer initially appoints the Trustee to act as the Registrar for the Notes.</w:t>
      </w:r>
    </w:p>
    <w:p>
      <w:pPr>
        <w:spacing w:after="0" w:line="22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 The Issuer shall require each Paying Agent other than the Trustee to agree in writing that the Paying Agent shall hold in trust for the benefit of Holders or the Trustee all money held by the Paying Agent for the payment of principal and premium, if any, or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6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Holder Lists</w:t>
      </w:r>
      <w:r>
        <w:rPr>
          <w:rFonts w:ascii="Arial" w:cs="Arial" w:eastAsia="Arial" w:hAnsi="Arial"/>
          <w:sz w:val="18"/>
          <w:szCs w:val="18"/>
          <w:color w:val="auto"/>
        </w:rPr>
        <w:t>. The Trustee shall preserve in as current a form as is reasonably practicable the most recent list available to it of the names and addresses of all Holders.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Holders of Notes.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3" w:lineRule="auto"/>
        <w:tabs>
          <w:tab w:leader="none" w:pos="1157"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Global Notes</w:t>
      </w:r>
      <w:r>
        <w:rPr>
          <w:rFonts w:ascii="Arial" w:cs="Arial" w:eastAsia="Arial" w:hAnsi="Arial"/>
          <w:sz w:val="16"/>
          <w:szCs w:val="16"/>
          <w:color w:val="auto"/>
        </w:rPr>
        <w:t>. Except as otherwise set forth in this Section 2.06, a Global Note may be transferred, in whole and not in part, only to another nominee of the Depositary or to a successor thereto or a nominee of such successor thereto. A beneficial interest in a Global Note may not be exchanged for a Definitive Note of the same series unless (A) the Depositary (x) notifies the Issuer that it is unwilling or unable to continue as Depositary for such Global Note or (y) has ceased to be a clearing agency registered under the Exchange Act, and, in either case, a successor Depositary is not appointed by the Issuer within 120 days or (B) there shall have occurred and be continuing a Default with respect to the Notes. Upon the occurrence of any of the preceding events in (A) above, Definitive Notes delivered in exchange for any Global Note of the same series or beneficial interests therein will be registered in the names, and issued in any approved denominations, requested by or on behalf of the Depositary (in accordance with its customary procedures). Global Notes also may be exchanged or replaced, in whole or in part, as provided in Sections 2.07 and 2.10 hereof. Every Note authenticated and delivered in exchange for, or in lieu of, a Global Note of the same series or any portion thereof, pursuant to this Section 2.06 or Section 2.07 or 2.10 hereof, shall be authenticated and delivered in the form of, and shall be, a Global Note, except for Definitive Notes issued subsequent to any of the preceding events in (A) or (B) above and pursuant to Section 2.06 (c) hereof. A Global Note may not be exchanged for another Note other than as provided in this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 xml:space="preserve">Section 2.06(a);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beneficial interests in a Global Note may be transferred and exchanged as provided in Section 2.06(b) or (c) hereof.</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245" w:name="page246"/>
    <w:bookmarkEnd w:id="245"/>
    <w:p>
      <w:pPr>
        <w:ind w:left="-20" w:right="80" w:firstLine="921"/>
        <w:spacing w:after="0" w:line="257" w:lineRule="auto"/>
        <w:tabs>
          <w:tab w:leader="none" w:pos="1148" w:val="left"/>
        </w:tabs>
        <w:numPr>
          <w:ilvl w:val="2"/>
          <w:numId w:val="3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and Exchange of Beneficial Interests in the Global Notes</w:t>
      </w:r>
      <w:r>
        <w:rPr>
          <w:rFonts w:ascii="Arial" w:cs="Arial" w:eastAsia="Arial" w:hAnsi="Arial"/>
          <w:sz w:val="18"/>
          <w:szCs w:val="18"/>
          <w:color w:val="auto"/>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80" w:lineRule="exact"/>
        <w:rPr>
          <w:rFonts w:ascii="Arial" w:cs="Arial" w:eastAsia="Arial" w:hAnsi="Arial"/>
          <w:sz w:val="18"/>
          <w:szCs w:val="18"/>
          <w:color w:val="auto"/>
        </w:rPr>
      </w:pPr>
    </w:p>
    <w:p>
      <w:pPr>
        <w:ind w:left="440" w:right="40" w:firstLine="443"/>
        <w:spacing w:after="0" w:line="293" w:lineRule="auto"/>
        <w:tabs>
          <w:tab w:leader="none" w:pos="1093" w:val="left"/>
        </w:tabs>
        <w:numPr>
          <w:ilvl w:val="1"/>
          <w:numId w:val="374"/>
        </w:numPr>
        <w:rPr>
          <w:rFonts w:ascii="Arial" w:cs="Arial" w:eastAsia="Arial" w:hAnsi="Arial"/>
          <w:sz w:val="16"/>
          <w:szCs w:val="16"/>
          <w:color w:val="auto"/>
        </w:rPr>
      </w:pPr>
      <w:r>
        <w:rPr>
          <w:rFonts w:ascii="Arial" w:cs="Arial" w:eastAsia="Arial" w:hAnsi="Arial"/>
          <w:sz w:val="16"/>
          <w:szCs w:val="16"/>
          <w:u w:val="single" w:color="auto"/>
          <w:color w:val="auto"/>
        </w:rPr>
        <w:t>Transfer of Beneficial Interests in the Same Global Note</w:t>
      </w:r>
      <w:r>
        <w:rPr>
          <w:rFonts w:ascii="Arial" w:cs="Arial" w:eastAsia="Arial" w:hAnsi="Arial"/>
          <w:sz w:val="16"/>
          <w:szCs w:val="16"/>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6"/>
          <w:szCs w:val="16"/>
          <w:u w:val="single" w:color="auto"/>
          <w:color w:val="auto"/>
        </w:rPr>
        <w:t>provided</w:t>
      </w:r>
      <w:r>
        <w:rPr>
          <w:rFonts w:ascii="Arial" w:cs="Arial" w:eastAsia="Arial" w:hAnsi="Arial"/>
          <w:sz w:val="16"/>
          <w:szCs w:val="16"/>
          <w:color w:val="auto"/>
        </w:rPr>
        <w:t>, that prior to the expiration of the Restricted Period, transfers of beneficial interests in the Regulation S Temporary Global Note may not be made to a U.S. Person or for the account or benefit of a U.S. Person other than pursuant to Rule 144A.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56" w:lineRule="exact"/>
        <w:rPr>
          <w:rFonts w:ascii="Arial" w:cs="Arial" w:eastAsia="Arial" w:hAnsi="Arial"/>
          <w:sz w:val="16"/>
          <w:szCs w:val="16"/>
          <w:color w:val="auto"/>
        </w:rPr>
      </w:pPr>
    </w:p>
    <w:p>
      <w:pPr>
        <w:ind w:left="440" w:right="60" w:firstLine="443"/>
        <w:spacing w:after="0" w:line="283" w:lineRule="auto"/>
        <w:tabs>
          <w:tab w:leader="none" w:pos="1143" w:val="left"/>
        </w:tabs>
        <w:numPr>
          <w:ilvl w:val="1"/>
          <w:numId w:val="374"/>
        </w:numPr>
        <w:rPr>
          <w:rFonts w:ascii="Arial" w:cs="Arial" w:eastAsia="Arial" w:hAnsi="Arial"/>
          <w:sz w:val="16"/>
          <w:szCs w:val="16"/>
          <w:color w:val="auto"/>
        </w:rPr>
      </w:pPr>
      <w:r>
        <w:rPr>
          <w:rFonts w:ascii="Arial" w:cs="Arial" w:eastAsia="Arial" w:hAnsi="Arial"/>
          <w:sz w:val="16"/>
          <w:szCs w:val="16"/>
          <w:u w:val="single" w:color="auto"/>
          <w:color w:val="auto"/>
        </w:rPr>
        <w:t>All Other Transfers and Exchanges of Beneficial Interests in Global Notes</w:t>
      </w:r>
      <w:r>
        <w:rPr>
          <w:rFonts w:ascii="Arial" w:cs="Arial" w:eastAsia="Arial" w:hAnsi="Arial"/>
          <w:sz w:val="16"/>
          <w:szCs w:val="16"/>
          <w:color w:val="auto"/>
        </w:rPr>
        <w:t xml:space="preserve">. In connection with all transfers and exchanges of beneficial interests that are not subject to Section 2.06(b)(i) hereof,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of the same series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Definitive Notes be issued upon the transfer or exchange of beneficial interests in a Regulation S Temporary Global Note prior to (A) the expiration of the Restricted Period and</w:t>
      </w:r>
    </w:p>
    <w:p>
      <w:pPr>
        <w:spacing w:after="0" w:line="5" w:lineRule="exact"/>
        <w:rPr>
          <w:rFonts w:ascii="Arial" w:cs="Arial" w:eastAsia="Arial" w:hAnsi="Arial"/>
          <w:sz w:val="16"/>
          <w:szCs w:val="16"/>
          <w:color w:val="auto"/>
        </w:rPr>
      </w:pPr>
    </w:p>
    <w:p>
      <w:pPr>
        <w:ind w:left="440" w:firstLine="4"/>
        <w:spacing w:after="0" w:line="255" w:lineRule="auto"/>
        <w:tabs>
          <w:tab w:leader="none" w:pos="72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receipt by the Registrar of any certificates required pursuant to Rule 903.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82" w:lineRule="exact"/>
        <w:rPr>
          <w:rFonts w:ascii="Arial" w:cs="Arial" w:eastAsia="Arial" w:hAnsi="Arial"/>
          <w:sz w:val="18"/>
          <w:szCs w:val="18"/>
          <w:color w:val="auto"/>
        </w:rPr>
      </w:pPr>
    </w:p>
    <w:p>
      <w:pPr>
        <w:jc w:val="both"/>
        <w:ind w:left="440" w:right="80" w:firstLine="443"/>
        <w:spacing w:after="0" w:line="264" w:lineRule="auto"/>
        <w:tabs>
          <w:tab w:leader="none" w:pos="1193"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Transfer of Beneficial Interests to Another Restricted Global Note</w:t>
      </w:r>
      <w:r>
        <w:rPr>
          <w:rFonts w:ascii="Arial" w:cs="Arial" w:eastAsia="Arial" w:hAnsi="Arial"/>
          <w:sz w:val="18"/>
          <w:szCs w:val="18"/>
          <w:color w:val="auto"/>
        </w:rPr>
        <w:t>. A beneficial interest in any Restricted Global Note may be transferred to a Person who takes delivery thereof in the form of a beneficial interest in another Restricted Global Note if the transfer complies with the requirements of Section 2.06(b)(ii) hereof and the Registrar receives the following:</w:t>
      </w:r>
    </w:p>
    <w:p>
      <w:pPr>
        <w:spacing w:after="0" w:line="73" w:lineRule="exact"/>
        <w:rPr>
          <w:rFonts w:ascii="Arial" w:cs="Arial" w:eastAsia="Arial" w:hAnsi="Arial"/>
          <w:sz w:val="18"/>
          <w:szCs w:val="18"/>
          <w:color w:val="auto"/>
        </w:rPr>
      </w:pPr>
    </w:p>
    <w:p>
      <w:pPr>
        <w:ind w:left="900" w:right="700" w:firstLine="421"/>
        <w:spacing w:after="0" w:line="277" w:lineRule="auto"/>
        <w:tabs>
          <w:tab w:leader="none" w:pos="1615" w:val="left"/>
        </w:tabs>
        <w:numPr>
          <w:ilvl w:val="3"/>
          <w:numId w:val="375"/>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a 144A Global Note,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 or</w:t>
      </w:r>
    </w:p>
    <w:p>
      <w:pPr>
        <w:spacing w:after="0" w:line="62" w:lineRule="exact"/>
        <w:rPr>
          <w:rFonts w:ascii="Arial" w:cs="Arial" w:eastAsia="Arial" w:hAnsi="Arial"/>
          <w:sz w:val="18"/>
          <w:szCs w:val="18"/>
          <w:color w:val="auto"/>
        </w:rPr>
      </w:pPr>
    </w:p>
    <w:p>
      <w:pPr>
        <w:ind w:left="900" w:right="180" w:firstLine="421"/>
        <w:spacing w:after="0" w:line="277" w:lineRule="auto"/>
        <w:tabs>
          <w:tab w:leader="none" w:pos="1605" w:val="left"/>
        </w:tabs>
        <w:numPr>
          <w:ilvl w:val="3"/>
          <w:numId w:val="375"/>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a Regulation S Global Note,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60" w:top="274" w:right="239" w:bottom="1440" w:gutter="0" w:footer="0" w:header="0"/>
        </w:sectPr>
      </w:pPr>
    </w:p>
    <w:bookmarkStart w:id="246" w:name="page247"/>
    <w:bookmarkEnd w:id="246"/>
    <w:p>
      <w:pPr>
        <w:ind w:left="460" w:right="320" w:firstLine="443"/>
        <w:spacing w:after="0" w:line="279" w:lineRule="auto"/>
        <w:tabs>
          <w:tab w:leader="none" w:pos="1203" w:val="left"/>
        </w:tabs>
        <w:numPr>
          <w:ilvl w:val="0"/>
          <w:numId w:val="3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hereof and the Registrar receives the following:</w:t>
      </w:r>
    </w:p>
    <w:p>
      <w:pPr>
        <w:spacing w:after="0" w:line="63" w:lineRule="exact"/>
        <w:rPr>
          <w:rFonts w:ascii="Arial" w:cs="Arial" w:eastAsia="Arial" w:hAnsi="Arial"/>
          <w:sz w:val="17"/>
          <w:szCs w:val="17"/>
          <w:color w:val="auto"/>
        </w:rPr>
      </w:pPr>
    </w:p>
    <w:p>
      <w:pPr>
        <w:ind w:left="920" w:right="100" w:firstLine="421"/>
        <w:spacing w:after="0" w:line="264" w:lineRule="auto"/>
        <w:tabs>
          <w:tab w:leader="none" w:pos="1635" w:val="left"/>
        </w:tabs>
        <w:numPr>
          <w:ilvl w:val="1"/>
          <w:numId w:val="37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Note of the same series,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(1)(a) thereof; or</w:t>
      </w:r>
    </w:p>
    <w:p>
      <w:pPr>
        <w:spacing w:after="0" w:line="73" w:lineRule="exact"/>
        <w:rPr>
          <w:rFonts w:ascii="Arial" w:cs="Arial" w:eastAsia="Arial" w:hAnsi="Arial"/>
          <w:sz w:val="18"/>
          <w:szCs w:val="18"/>
          <w:color w:val="auto"/>
        </w:rPr>
      </w:pPr>
    </w:p>
    <w:p>
      <w:pPr>
        <w:jc w:val="both"/>
        <w:ind w:left="920" w:right="220" w:firstLine="421"/>
        <w:spacing w:after="0" w:line="264" w:lineRule="auto"/>
        <w:tabs>
          <w:tab w:leader="none" w:pos="1625" w:val="left"/>
        </w:tabs>
        <w:numPr>
          <w:ilvl w:val="1"/>
          <w:numId w:val="37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of the same series,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73"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and, in each such case,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If any such transfer is effected pursuant to this paragraph (iv)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paragraph (iv).</w:t>
      </w:r>
    </w:p>
    <w:p>
      <w:pPr>
        <w:spacing w:after="0" w:line="14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62" w:lineRule="exact"/>
        <w:rPr>
          <w:sz w:val="20"/>
          <w:szCs w:val="20"/>
          <w:color w:val="auto"/>
        </w:rPr>
      </w:pPr>
    </w:p>
    <w:p>
      <w:pPr>
        <w:ind w:left="1140" w:hanging="237"/>
        <w:spacing w:after="0"/>
        <w:tabs>
          <w:tab w:leader="none" w:pos="114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Transfer or Exchange of Beneficial Interests for Definitive Notes</w:t>
      </w:r>
      <w:r>
        <w:rPr>
          <w:rFonts w:ascii="Arial" w:cs="Arial" w:eastAsia="Arial" w:hAnsi="Arial"/>
          <w:sz w:val="18"/>
          <w:szCs w:val="18"/>
          <w:color w:val="auto"/>
        </w:rPr>
        <w:t>.</w:t>
      </w:r>
    </w:p>
    <w:p>
      <w:pPr>
        <w:spacing w:after="0" w:line="117" w:lineRule="exact"/>
        <w:rPr>
          <w:sz w:val="20"/>
          <w:szCs w:val="20"/>
          <w:color w:val="auto"/>
        </w:rPr>
      </w:pPr>
    </w:p>
    <w:p>
      <w:pPr>
        <w:ind w:left="460" w:right="40" w:firstLine="443"/>
        <w:spacing w:after="0" w:line="259" w:lineRule="auto"/>
        <w:tabs>
          <w:tab w:leader="none" w:pos="1113"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Beneficial Interests in Restricted Global Notes to Restricted Definitive Notes</w:t>
      </w:r>
      <w:r>
        <w:rPr>
          <w:rFonts w:ascii="Arial" w:cs="Arial" w:eastAsia="Arial" w:hAnsi="Arial"/>
          <w:sz w:val="18"/>
          <w:szCs w:val="18"/>
          <w:color w:val="auto"/>
        </w:rPr>
        <w:t>.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subsection (A) of Section 2.06(a) hereof and receipt by the Registrar of the following documentation:</w:t>
      </w:r>
    </w:p>
    <w:p>
      <w:pPr>
        <w:spacing w:after="0" w:line="78" w:lineRule="exact"/>
        <w:rPr>
          <w:rFonts w:ascii="Arial" w:cs="Arial" w:eastAsia="Arial" w:hAnsi="Arial"/>
          <w:sz w:val="18"/>
          <w:szCs w:val="18"/>
          <w:color w:val="auto"/>
        </w:rPr>
      </w:pPr>
    </w:p>
    <w:p>
      <w:pPr>
        <w:ind w:left="920" w:right="280" w:firstLine="421"/>
        <w:spacing w:after="0" w:line="342" w:lineRule="auto"/>
        <w:tabs>
          <w:tab w:leader="none" w:pos="1635" w:val="left"/>
        </w:tabs>
        <w:numPr>
          <w:ilvl w:val="1"/>
          <w:numId w:val="378"/>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Note proposes to exchange such beneficial interest for a Restricted Definitive Note, a certificate from such holder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(2)(a) thereof;</w:t>
      </w:r>
    </w:p>
    <w:p>
      <w:pPr>
        <w:spacing w:after="0" w:line="15" w:lineRule="exact"/>
        <w:rPr>
          <w:rFonts w:ascii="Arial" w:cs="Arial" w:eastAsia="Arial" w:hAnsi="Arial"/>
          <w:sz w:val="16"/>
          <w:szCs w:val="16"/>
          <w:color w:val="auto"/>
        </w:rPr>
      </w:pPr>
    </w:p>
    <w:p>
      <w:pPr>
        <w:ind w:left="920" w:right="120" w:firstLine="421"/>
        <w:spacing w:after="0" w:line="277" w:lineRule="auto"/>
        <w:tabs>
          <w:tab w:leader="none" w:pos="1625"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QIB in accordance with Rule 144A, a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hereto, including the certifications in item (1) thereof;</w:t>
      </w:r>
    </w:p>
    <w:p>
      <w:pPr>
        <w:spacing w:after="0" w:line="62" w:lineRule="exact"/>
        <w:rPr>
          <w:rFonts w:ascii="Arial" w:cs="Arial" w:eastAsia="Arial" w:hAnsi="Arial"/>
          <w:sz w:val="18"/>
          <w:szCs w:val="18"/>
          <w:color w:val="auto"/>
        </w:rPr>
      </w:pPr>
    </w:p>
    <w:p>
      <w:pPr>
        <w:ind w:left="920" w:right="20" w:firstLine="421"/>
        <w:spacing w:after="0" w:line="277" w:lineRule="auto"/>
        <w:tabs>
          <w:tab w:leader="none" w:pos="1625"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Non-U.S. Person in an offshore transaction in accordance with Rule 903 or Rule 904,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247" w:name="page248"/>
    <w:bookmarkEnd w:id="247"/>
    <w:p>
      <w:pPr>
        <w:ind w:left="920" w:right="460" w:firstLine="421"/>
        <w:spacing w:after="0" w:line="342" w:lineRule="auto"/>
        <w:tabs>
          <w:tab w:leader="none" w:pos="1635" w:val="left"/>
        </w:tabs>
        <w:numPr>
          <w:ilvl w:val="0"/>
          <w:numId w:val="3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such beneficial interest is being transferred pursuant to an exemption from the registration requirements of the Securities Act in accordance with Rule 144,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(3)(a) thereof;</w:t>
      </w:r>
    </w:p>
    <w:p>
      <w:pPr>
        <w:spacing w:after="0" w:line="15" w:lineRule="exact"/>
        <w:rPr>
          <w:rFonts w:ascii="Arial" w:cs="Arial" w:eastAsia="Arial" w:hAnsi="Arial"/>
          <w:sz w:val="16"/>
          <w:szCs w:val="16"/>
          <w:color w:val="auto"/>
        </w:rPr>
      </w:pPr>
    </w:p>
    <w:p>
      <w:pPr>
        <w:ind w:left="920" w:right="100" w:firstLine="421"/>
        <w:spacing w:after="0" w:line="277" w:lineRule="auto"/>
        <w:tabs>
          <w:tab w:leader="none" w:pos="161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Issuer or any of its Restricted Subsidiaries,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62" w:lineRule="exact"/>
        <w:rPr>
          <w:rFonts w:ascii="Arial" w:cs="Arial" w:eastAsia="Arial" w:hAnsi="Arial"/>
          <w:sz w:val="18"/>
          <w:szCs w:val="18"/>
          <w:color w:val="auto"/>
        </w:rPr>
      </w:pPr>
    </w:p>
    <w:p>
      <w:pPr>
        <w:ind w:left="920" w:right="520" w:firstLine="421"/>
        <w:spacing w:after="0" w:line="277" w:lineRule="auto"/>
        <w:tabs>
          <w:tab w:leader="none" w:pos="160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 (c) thereof,</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Trustee shall cause the aggregate principal amount of the applicable Global Note to be reduced accordingly pursuant to Section 2.06(g) hereof, and the Issuer shall execute and the Trustee shall authenticate and mail to the Person designated in the instructions a Definitive Note in the applicable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spacing w:after="0" w:line="70" w:lineRule="exact"/>
        <w:rPr>
          <w:sz w:val="20"/>
          <w:szCs w:val="20"/>
          <w:color w:val="auto"/>
        </w:rPr>
      </w:pPr>
    </w:p>
    <w:p>
      <w:pPr>
        <w:ind w:left="460" w:firstLine="443"/>
        <w:spacing w:after="0" w:line="257" w:lineRule="auto"/>
        <w:tabs>
          <w:tab w:leader="none" w:pos="1163"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Beneficial Interests in Regulation S Temporary Global Note to Definitive Notes</w:t>
      </w:r>
      <w:r>
        <w:rPr>
          <w:rFonts w:ascii="Arial" w:cs="Arial" w:eastAsia="Arial" w:hAnsi="Arial"/>
          <w:sz w:val="18"/>
          <w:szCs w:val="18"/>
          <w:color w:val="auto"/>
        </w:rPr>
        <w:t>. Notwithstanding Sections 2.06(c)(i)(A)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of the Securities Act, except in the case of a transfer pursuant to an exemption from the registration requirements of the Securities Act other than Rule 903 or Rule 904.</w:t>
      </w:r>
    </w:p>
    <w:p>
      <w:pPr>
        <w:spacing w:after="0" w:line="80" w:lineRule="exact"/>
        <w:rPr>
          <w:rFonts w:ascii="Arial" w:cs="Arial" w:eastAsia="Arial" w:hAnsi="Arial"/>
          <w:sz w:val="18"/>
          <w:szCs w:val="18"/>
          <w:color w:val="auto"/>
        </w:rPr>
      </w:pPr>
    </w:p>
    <w:p>
      <w:pPr>
        <w:ind w:left="460" w:right="100" w:firstLine="443"/>
        <w:spacing w:after="0" w:line="259" w:lineRule="auto"/>
        <w:tabs>
          <w:tab w:leader="none" w:pos="1213"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Beneficial Interests in Restricted Global Notes to Unrestricted Definitive Notes</w:t>
      </w:r>
      <w:r>
        <w:rPr>
          <w:rFonts w:ascii="Arial" w:cs="Arial" w:eastAsia="Arial" w:hAnsi="Arial"/>
          <w:sz w:val="18"/>
          <w:szCs w:val="18"/>
          <w:color w:val="auto"/>
        </w:rPr>
        <w:t>.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subsection (A) of Section 2.06(a) hereof and if the Registrar receives the following:</w:t>
      </w:r>
    </w:p>
    <w:p>
      <w:pPr>
        <w:spacing w:after="0" w:line="78" w:lineRule="exact"/>
        <w:rPr>
          <w:rFonts w:ascii="Arial" w:cs="Arial" w:eastAsia="Arial" w:hAnsi="Arial"/>
          <w:sz w:val="18"/>
          <w:szCs w:val="18"/>
          <w:color w:val="auto"/>
        </w:rPr>
      </w:pPr>
    </w:p>
    <w:p>
      <w:pPr>
        <w:ind w:left="920" w:right="100" w:firstLine="421"/>
        <w:spacing w:after="0" w:line="342" w:lineRule="auto"/>
        <w:tabs>
          <w:tab w:leader="none" w:pos="1635" w:val="left"/>
        </w:tabs>
        <w:numPr>
          <w:ilvl w:val="1"/>
          <w:numId w:val="380"/>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Note proposes to exchange such beneficial interest for an Unrestricted Definitive Note, a certificate from such holder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(1)(b) thereof; or</w:t>
      </w:r>
    </w:p>
    <w:p>
      <w:pPr>
        <w:spacing w:after="0" w:line="15" w:lineRule="exact"/>
        <w:rPr>
          <w:rFonts w:ascii="Arial" w:cs="Arial" w:eastAsia="Arial" w:hAnsi="Arial"/>
          <w:sz w:val="16"/>
          <w:szCs w:val="16"/>
          <w:color w:val="auto"/>
        </w:rPr>
      </w:pPr>
    </w:p>
    <w:p>
      <w:pPr>
        <w:ind w:left="920" w:right="160" w:firstLine="421"/>
        <w:spacing w:after="0" w:line="264" w:lineRule="auto"/>
        <w:tabs>
          <w:tab w:leader="none" w:pos="1625"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248" w:name="page249"/>
    <w:bookmarkEnd w:id="248"/>
    <w:p>
      <w:pPr>
        <w:ind w:left="4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in each such case,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9" w:lineRule="exact"/>
        <w:rPr>
          <w:sz w:val="20"/>
          <w:szCs w:val="20"/>
          <w:color w:val="auto"/>
        </w:rPr>
      </w:pPr>
    </w:p>
    <w:p>
      <w:pPr>
        <w:ind w:firstLine="443"/>
        <w:spacing w:after="0" w:line="270" w:lineRule="auto"/>
        <w:tabs>
          <w:tab w:leader="none" w:pos="743"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Beneficial Interests in Unrestricted Global Notes to Unrestricted Definitive Notes</w:t>
      </w:r>
      <w:r>
        <w:rPr>
          <w:rFonts w:ascii="Arial" w:cs="Arial" w:eastAsia="Arial" w:hAnsi="Arial"/>
          <w:sz w:val="17"/>
          <w:szCs w:val="17"/>
          <w:color w:val="auto"/>
        </w:rPr>
        <w:t>.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in subsection (A) of Section 2.06(a) hereof and satisfaction of the conditions set forth in Section 2.06(b)(ii) hereof, the Trustee shall cause the aggregate principal amount of the applicable Global Note to be reduced accordingly pursuant to Section 2.06(g) hereof, and the Issuer shall execute and the Trustee shall authenticate and mail to the Person designated in the instructions a Definitive Note in the applicable principal amount. Any Definitive Note issued in exchange for a beneficial interest pursuant to this Section 2.06(c)(iv)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Section 2.06(c)(iv) shall not bear the Private Placement Legend.</w:t>
      </w:r>
    </w:p>
    <w:p>
      <w:pPr>
        <w:spacing w:after="0" w:line="70" w:lineRule="exact"/>
        <w:rPr>
          <w:sz w:val="20"/>
          <w:szCs w:val="20"/>
          <w:color w:val="auto"/>
        </w:rPr>
      </w:pPr>
    </w:p>
    <w:p>
      <w:pPr>
        <w:ind w:left="700" w:hanging="257"/>
        <w:spacing w:after="0"/>
        <w:tabs>
          <w:tab w:leader="none" w:pos="70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Definitive Notes for Beneficial Interests</w:t>
      </w:r>
      <w:r>
        <w:rPr>
          <w:rFonts w:ascii="Arial" w:cs="Arial" w:eastAsia="Arial" w:hAnsi="Arial"/>
          <w:sz w:val="18"/>
          <w:szCs w:val="18"/>
          <w:color w:val="auto"/>
        </w:rPr>
        <w:t>.</w:t>
      </w:r>
    </w:p>
    <w:p>
      <w:pPr>
        <w:spacing w:after="0" w:line="117" w:lineRule="exact"/>
        <w:rPr>
          <w:sz w:val="20"/>
          <w:szCs w:val="20"/>
          <w:color w:val="auto"/>
        </w:rPr>
      </w:pPr>
    </w:p>
    <w:p>
      <w:pPr>
        <w:ind w:right="220" w:firstLine="443"/>
        <w:spacing w:after="0" w:line="312" w:lineRule="auto"/>
        <w:tabs>
          <w:tab w:leader="none" w:pos="653"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Restricted Definitive Notes to Beneficial Interests in Restricted Global Notes</w:t>
      </w:r>
      <w:r>
        <w:rPr>
          <w:rFonts w:ascii="Arial" w:cs="Arial" w:eastAsia="Arial" w:hAnsi="Arial"/>
          <w:sz w:val="16"/>
          <w:szCs w:val="16"/>
          <w:color w:val="auto"/>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38" w:lineRule="exact"/>
        <w:rPr>
          <w:rFonts w:ascii="Arial" w:cs="Arial" w:eastAsia="Arial" w:hAnsi="Arial"/>
          <w:sz w:val="16"/>
          <w:szCs w:val="16"/>
          <w:color w:val="auto"/>
        </w:rPr>
      </w:pPr>
    </w:p>
    <w:p>
      <w:pPr>
        <w:ind w:left="460" w:right="80" w:firstLine="421"/>
        <w:spacing w:after="0" w:line="308" w:lineRule="auto"/>
        <w:tabs>
          <w:tab w:leader="none" w:pos="1175" w:val="left"/>
        </w:tabs>
        <w:numPr>
          <w:ilvl w:val="1"/>
          <w:numId w:val="383"/>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Definitive Note proposes to exchange such Note for a beneficial interest in a Restricted Global Note, a certificate from such Holder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(2)(b) thereof;</w:t>
      </w:r>
    </w:p>
    <w:p>
      <w:pPr>
        <w:spacing w:after="0" w:line="38" w:lineRule="exact"/>
        <w:rPr>
          <w:rFonts w:ascii="Arial" w:cs="Arial" w:eastAsia="Arial" w:hAnsi="Arial"/>
          <w:sz w:val="17"/>
          <w:szCs w:val="17"/>
          <w:color w:val="auto"/>
        </w:rPr>
      </w:pPr>
    </w:p>
    <w:p>
      <w:pPr>
        <w:ind w:left="460" w:right="80" w:firstLine="421"/>
        <w:spacing w:after="0" w:line="277" w:lineRule="auto"/>
        <w:tabs>
          <w:tab w:leader="none" w:pos="1165" w:val="left"/>
        </w:tabs>
        <w:numPr>
          <w:ilvl w:val="1"/>
          <w:numId w:val="383"/>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QIB in accordance with Rule 144A,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62" w:lineRule="exact"/>
        <w:rPr>
          <w:rFonts w:ascii="Arial" w:cs="Arial" w:eastAsia="Arial" w:hAnsi="Arial"/>
          <w:sz w:val="18"/>
          <w:szCs w:val="18"/>
          <w:color w:val="auto"/>
        </w:rPr>
      </w:pPr>
    </w:p>
    <w:p>
      <w:pPr>
        <w:ind w:left="460" w:right="160" w:firstLine="421"/>
        <w:spacing w:after="0" w:line="277" w:lineRule="auto"/>
        <w:tabs>
          <w:tab w:leader="none" w:pos="1165" w:val="left"/>
        </w:tabs>
        <w:numPr>
          <w:ilvl w:val="1"/>
          <w:numId w:val="383"/>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Non-U.S. Person in an offshore transaction in accordance with Rule 903 or Rule 904,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62" w:lineRule="exact"/>
        <w:rPr>
          <w:rFonts w:ascii="Arial" w:cs="Arial" w:eastAsia="Arial" w:hAnsi="Arial"/>
          <w:sz w:val="18"/>
          <w:szCs w:val="18"/>
          <w:color w:val="auto"/>
        </w:rPr>
      </w:pPr>
    </w:p>
    <w:p>
      <w:pPr>
        <w:ind w:left="460" w:firstLine="421"/>
        <w:spacing w:after="0" w:line="342" w:lineRule="auto"/>
        <w:tabs>
          <w:tab w:leader="none" w:pos="1175" w:val="left"/>
        </w:tabs>
        <w:numPr>
          <w:ilvl w:val="1"/>
          <w:numId w:val="383"/>
        </w:numPr>
        <w:rPr>
          <w:rFonts w:ascii="Arial" w:cs="Arial" w:eastAsia="Arial" w:hAnsi="Arial"/>
          <w:sz w:val="16"/>
          <w:szCs w:val="16"/>
          <w:color w:val="auto"/>
        </w:rPr>
      </w:pPr>
      <w:r>
        <w:rPr>
          <w:rFonts w:ascii="Arial" w:cs="Arial" w:eastAsia="Arial" w:hAnsi="Arial"/>
          <w:sz w:val="16"/>
          <w:szCs w:val="16"/>
          <w:color w:val="auto"/>
        </w:rPr>
        <w:t xml:space="preserve">if such Restricted Definitive Note is being transferred pursuant to an exemption from the registration requirements of the Securities Act in accordance with Rule 144, a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(3)(a) thereof;</w:t>
      </w:r>
    </w:p>
    <w:p>
      <w:pPr>
        <w:spacing w:after="0" w:line="15" w:lineRule="exact"/>
        <w:rPr>
          <w:rFonts w:ascii="Arial" w:cs="Arial" w:eastAsia="Arial" w:hAnsi="Arial"/>
          <w:sz w:val="16"/>
          <w:szCs w:val="16"/>
          <w:color w:val="auto"/>
        </w:rPr>
      </w:pPr>
    </w:p>
    <w:p>
      <w:pPr>
        <w:ind w:left="460" w:right="40" w:firstLine="421"/>
        <w:spacing w:after="0" w:line="277" w:lineRule="auto"/>
        <w:tabs>
          <w:tab w:leader="none" w:pos="1155" w:val="left"/>
        </w:tabs>
        <w:numPr>
          <w:ilvl w:val="1"/>
          <w:numId w:val="383"/>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the Issuer or any of its Restricted Subsidiaries,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40"/>
          </w:cols>
          <w:pgMar w:left="700" w:top="274" w:right="259" w:bottom="1440" w:gutter="0" w:footer="0" w:header="0"/>
        </w:sectPr>
      </w:pPr>
    </w:p>
    <w:bookmarkStart w:id="249" w:name="page250"/>
    <w:bookmarkEnd w:id="249"/>
    <w:p>
      <w:pPr>
        <w:ind w:left="920" w:right="640" w:firstLine="421"/>
        <w:spacing w:after="0" w:line="277" w:lineRule="auto"/>
        <w:tabs>
          <w:tab w:leader="none" w:pos="1605" w:val="left"/>
        </w:tabs>
        <w:numPr>
          <w:ilvl w:val="0"/>
          <w:numId w:val="3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such Restricted Definitive Note is being transferred pursuant to an effective registration statement under the Securities Act,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Trustee shall cancel the Restricted Definitive Note,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spacing w:after="0" w:line="73" w:lineRule="exact"/>
        <w:rPr>
          <w:sz w:val="20"/>
          <w:szCs w:val="20"/>
          <w:color w:val="auto"/>
        </w:rPr>
      </w:pPr>
    </w:p>
    <w:p>
      <w:pPr>
        <w:ind w:left="460" w:right="40" w:firstLine="443"/>
        <w:spacing w:after="0" w:line="264" w:lineRule="auto"/>
        <w:tabs>
          <w:tab w:leader="none" w:pos="1163"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Restricted Definitive Notes to Beneficial Interests in Unrestricted Global Notes</w:t>
      </w:r>
      <w:r>
        <w:rPr>
          <w:rFonts w:ascii="Arial" w:cs="Arial" w:eastAsia="Arial" w:hAnsi="Arial"/>
          <w:sz w:val="18"/>
          <w:szCs w:val="18"/>
          <w:color w:val="auto"/>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73" w:lineRule="exact"/>
        <w:rPr>
          <w:rFonts w:ascii="Arial" w:cs="Arial" w:eastAsia="Arial" w:hAnsi="Arial"/>
          <w:sz w:val="18"/>
          <w:szCs w:val="18"/>
          <w:color w:val="auto"/>
        </w:rPr>
      </w:pPr>
    </w:p>
    <w:p>
      <w:pPr>
        <w:ind w:left="920" w:right="400" w:firstLine="421"/>
        <w:spacing w:after="0" w:line="308" w:lineRule="auto"/>
        <w:tabs>
          <w:tab w:leader="none" w:pos="1635" w:val="left"/>
        </w:tabs>
        <w:numPr>
          <w:ilvl w:val="1"/>
          <w:numId w:val="385"/>
        </w:numPr>
        <w:rPr>
          <w:rFonts w:ascii="Arial" w:cs="Arial" w:eastAsia="Arial" w:hAnsi="Arial"/>
          <w:sz w:val="17"/>
          <w:szCs w:val="17"/>
          <w:color w:val="auto"/>
        </w:rPr>
      </w:pPr>
      <w:r>
        <w:rPr>
          <w:rFonts w:ascii="Arial" w:cs="Arial" w:eastAsia="Arial" w:hAnsi="Arial"/>
          <w:sz w:val="17"/>
          <w:szCs w:val="17"/>
          <w:color w:val="auto"/>
        </w:rPr>
        <w:t xml:space="preserve">if the Holder of such Definitive Notes proposes to exchange such Notes for a beneficial interest in the Unrestricted Global Note, a certificate from such Holder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(1)(c) thereof; or</w:t>
      </w:r>
    </w:p>
    <w:p>
      <w:pPr>
        <w:spacing w:after="0" w:line="38" w:lineRule="exact"/>
        <w:rPr>
          <w:rFonts w:ascii="Arial" w:cs="Arial" w:eastAsia="Arial" w:hAnsi="Arial"/>
          <w:sz w:val="17"/>
          <w:szCs w:val="17"/>
          <w:color w:val="auto"/>
        </w:rPr>
      </w:pPr>
    </w:p>
    <w:p>
      <w:pPr>
        <w:ind w:left="920" w:right="360" w:firstLine="421"/>
        <w:spacing w:after="0" w:line="264" w:lineRule="auto"/>
        <w:tabs>
          <w:tab w:leader="none" w:pos="1625" w:val="left"/>
        </w:tabs>
        <w:numPr>
          <w:ilvl w:val="1"/>
          <w:numId w:val="385"/>
        </w:numPr>
        <w:rPr>
          <w:rFonts w:ascii="Arial" w:cs="Arial" w:eastAsia="Arial" w:hAnsi="Arial"/>
          <w:sz w:val="18"/>
          <w:szCs w:val="18"/>
          <w:color w:val="auto"/>
        </w:rPr>
      </w:pPr>
      <w:r>
        <w:rPr>
          <w:rFonts w:ascii="Arial" w:cs="Arial" w:eastAsia="Arial" w:hAnsi="Arial"/>
          <w:sz w:val="18"/>
          <w:szCs w:val="18"/>
          <w:color w:val="auto"/>
        </w:rPr>
        <w:t xml:space="preserve">if the Holder of such Definitive Notes proposes to transfer such Notes to a Person who shall take delivery thereof in the form of a beneficial interest in the Unrestricted Global Note, a certificate from such 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73"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and, in each such case,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7"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Upon satisfaction of the conditions of any of the subparagraphs in this Section 2.06(d)(ii), the Trustee shall cancel the Definitive Notes and increase or cause to be increased the aggregate principal amount of the Unrestricted Global Note.</w:t>
      </w:r>
    </w:p>
    <w:p>
      <w:pPr>
        <w:spacing w:after="0" w:line="62" w:lineRule="exact"/>
        <w:rPr>
          <w:sz w:val="20"/>
          <w:szCs w:val="20"/>
          <w:color w:val="auto"/>
        </w:rPr>
      </w:pPr>
    </w:p>
    <w:p>
      <w:pPr>
        <w:ind w:left="460" w:right="20" w:firstLine="443"/>
        <w:spacing w:after="0" w:line="257" w:lineRule="auto"/>
        <w:tabs>
          <w:tab w:leader="none" w:pos="1213"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Unrestricted Definitive Notes to Beneficial Interests in Unrestricted Global Notes</w:t>
      </w:r>
      <w:r>
        <w:rPr>
          <w:rFonts w:ascii="Arial" w:cs="Arial" w:eastAsia="Arial" w:hAnsi="Arial"/>
          <w:sz w:val="18"/>
          <w:szCs w:val="18"/>
          <w:color w:val="auto"/>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subparagraph (ii) or (iii)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79" w:lineRule="exact"/>
        <w:rPr>
          <w:sz w:val="20"/>
          <w:szCs w:val="20"/>
          <w:color w:val="auto"/>
        </w:rPr>
      </w:pPr>
    </w:p>
    <w:p>
      <w:pPr>
        <w:ind w:right="40" w:firstLine="921"/>
        <w:spacing w:after="0" w:line="297" w:lineRule="auto"/>
        <w:tabs>
          <w:tab w:leader="none" w:pos="1157" w:val="left"/>
        </w:tabs>
        <w:numPr>
          <w:ilvl w:val="0"/>
          <w:numId w:val="387"/>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Definitive Notes for Definitive Notes</w:t>
      </w:r>
      <w:r>
        <w:rPr>
          <w:rFonts w:ascii="Arial" w:cs="Arial" w:eastAsia="Arial" w:hAnsi="Arial"/>
          <w:sz w:val="16"/>
          <w:szCs w:val="16"/>
          <w:color w:val="auto"/>
        </w:rPr>
        <w:t>.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250" w:name="page251"/>
    <w:bookmarkEnd w:id="250"/>
    <w:p>
      <w:pPr>
        <w:ind w:left="440" w:right="60" w:firstLine="443"/>
        <w:spacing w:after="0" w:line="277" w:lineRule="auto"/>
        <w:tabs>
          <w:tab w:leader="none" w:pos="1093"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Definitive Notes to Restricted Definitive Notes</w:t>
      </w:r>
      <w:r>
        <w:rPr>
          <w:rFonts w:ascii="Arial" w:cs="Arial" w:eastAsia="Arial" w:hAnsi="Arial"/>
          <w:sz w:val="18"/>
          <w:szCs w:val="18"/>
          <w:color w:val="auto"/>
        </w:rPr>
        <w:t>. Any Restricted Definitive Note may be transferred to and registered in the name of Persons who take delivery thereof in the form of a Restricted Definitive Note if the Registrar receives the following:</w:t>
      </w:r>
    </w:p>
    <w:p>
      <w:pPr>
        <w:spacing w:after="0" w:line="62" w:lineRule="exact"/>
        <w:rPr>
          <w:rFonts w:ascii="Arial" w:cs="Arial" w:eastAsia="Arial" w:hAnsi="Arial"/>
          <w:sz w:val="18"/>
          <w:szCs w:val="18"/>
          <w:color w:val="auto"/>
        </w:rPr>
      </w:pPr>
    </w:p>
    <w:p>
      <w:pPr>
        <w:ind w:left="900" w:right="60" w:firstLine="421"/>
        <w:spacing w:after="0" w:line="277" w:lineRule="auto"/>
        <w:tabs>
          <w:tab w:leader="none" w:pos="1615" w:val="left"/>
        </w:tabs>
        <w:numPr>
          <w:ilvl w:val="2"/>
          <w:numId w:val="388"/>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a QIB in accordance with Rule 144A, then the transferor must deliver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62" w:lineRule="exact"/>
        <w:rPr>
          <w:rFonts w:ascii="Arial" w:cs="Arial" w:eastAsia="Arial" w:hAnsi="Arial"/>
          <w:sz w:val="18"/>
          <w:szCs w:val="18"/>
          <w:color w:val="auto"/>
        </w:rPr>
      </w:pPr>
    </w:p>
    <w:p>
      <w:pPr>
        <w:ind w:left="900" w:right="420" w:firstLine="421"/>
        <w:spacing w:after="0" w:line="277" w:lineRule="auto"/>
        <w:tabs>
          <w:tab w:leader="none" w:pos="1605" w:val="left"/>
        </w:tabs>
        <w:numPr>
          <w:ilvl w:val="2"/>
          <w:numId w:val="388"/>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or</w:t>
      </w:r>
    </w:p>
    <w:p>
      <w:pPr>
        <w:spacing w:after="0" w:line="62" w:lineRule="exact"/>
        <w:rPr>
          <w:rFonts w:ascii="Arial" w:cs="Arial" w:eastAsia="Arial" w:hAnsi="Arial"/>
          <w:sz w:val="18"/>
          <w:szCs w:val="18"/>
          <w:color w:val="auto"/>
        </w:rPr>
      </w:pPr>
    </w:p>
    <w:p>
      <w:pPr>
        <w:ind w:left="900" w:right="20" w:firstLine="421"/>
        <w:spacing w:after="0" w:line="308" w:lineRule="auto"/>
        <w:tabs>
          <w:tab w:leader="none" w:pos="1605" w:val="left"/>
        </w:tabs>
        <w:numPr>
          <w:ilvl w:val="2"/>
          <w:numId w:val="388"/>
        </w:numPr>
        <w:rPr>
          <w:rFonts w:ascii="Arial" w:cs="Arial" w:eastAsia="Arial" w:hAnsi="Arial"/>
          <w:sz w:val="17"/>
          <w:szCs w:val="17"/>
          <w:color w:val="auto"/>
        </w:rPr>
      </w:pPr>
      <w:r>
        <w:rPr>
          <w:rFonts w:ascii="Arial" w:cs="Arial" w:eastAsia="Arial" w:hAnsi="Arial"/>
          <w:sz w:val="17"/>
          <w:szCs w:val="17"/>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required by item (3) thereof, if applicable.</w:t>
      </w:r>
    </w:p>
    <w:p>
      <w:pPr>
        <w:spacing w:after="0" w:line="38" w:lineRule="exact"/>
        <w:rPr>
          <w:rFonts w:ascii="Arial" w:cs="Arial" w:eastAsia="Arial" w:hAnsi="Arial"/>
          <w:sz w:val="17"/>
          <w:szCs w:val="17"/>
          <w:color w:val="auto"/>
        </w:rPr>
      </w:pPr>
    </w:p>
    <w:p>
      <w:pPr>
        <w:ind w:left="440" w:right="120" w:firstLine="443"/>
        <w:spacing w:after="0" w:line="264" w:lineRule="auto"/>
        <w:tabs>
          <w:tab w:leader="none" w:pos="1143"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Restricted Definitive Notes to Unrestricted Definitive Notes</w:t>
      </w:r>
      <w:r>
        <w:rPr>
          <w:rFonts w:ascii="Arial" w:cs="Arial" w:eastAsia="Arial" w:hAnsi="Arial"/>
          <w:sz w:val="18"/>
          <w:szCs w:val="18"/>
          <w:color w:val="auto"/>
        </w:rPr>
        <w:t>. Any Restricted Definitive Note may be exchanged by the Holder thereof for an Unrestricted Definitive Note or transferred to a Person or Persons who take delivery thereof in the form of an Unrestricted Definitive Note if the Registrar receives the following:</w:t>
      </w:r>
    </w:p>
    <w:p>
      <w:pPr>
        <w:spacing w:after="0" w:line="73" w:lineRule="exact"/>
        <w:rPr>
          <w:rFonts w:ascii="Arial" w:cs="Arial" w:eastAsia="Arial" w:hAnsi="Arial"/>
          <w:sz w:val="18"/>
          <w:szCs w:val="18"/>
          <w:color w:val="auto"/>
        </w:rPr>
      </w:pPr>
    </w:p>
    <w:p>
      <w:pPr>
        <w:ind w:left="900" w:right="320" w:firstLine="421"/>
        <w:spacing w:after="0" w:line="277" w:lineRule="auto"/>
        <w:tabs>
          <w:tab w:leader="none" w:pos="1615" w:val="left"/>
        </w:tabs>
        <w:numPr>
          <w:ilvl w:val="2"/>
          <w:numId w:val="388"/>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Notes proposes to exchange such Notes for an Unrestricted Definitive Note,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(1)(d) thereof; or</w:t>
      </w:r>
    </w:p>
    <w:p>
      <w:pPr>
        <w:spacing w:after="0" w:line="62" w:lineRule="exact"/>
        <w:rPr>
          <w:rFonts w:ascii="Arial" w:cs="Arial" w:eastAsia="Arial" w:hAnsi="Arial"/>
          <w:sz w:val="18"/>
          <w:szCs w:val="18"/>
          <w:color w:val="auto"/>
        </w:rPr>
      </w:pPr>
    </w:p>
    <w:p>
      <w:pPr>
        <w:ind w:left="900" w:firstLine="421"/>
        <w:spacing w:after="0" w:line="264" w:lineRule="auto"/>
        <w:tabs>
          <w:tab w:leader="none" w:pos="1605" w:val="left"/>
        </w:tabs>
        <w:numPr>
          <w:ilvl w:val="2"/>
          <w:numId w:val="388"/>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Notes proposes to transfer such Notes to a Person who shall take delivery thereof in the form of an Unrestricted Definitive Note, a certificate from such 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73" w:lineRule="exact"/>
        <w:rPr>
          <w:rFonts w:ascii="Arial" w:cs="Arial" w:eastAsia="Arial" w:hAnsi="Arial"/>
          <w:sz w:val="18"/>
          <w:szCs w:val="18"/>
          <w:color w:val="auto"/>
        </w:rPr>
      </w:pPr>
    </w:p>
    <w:p>
      <w:pPr>
        <w:ind w:left="900" w:right="180" w:firstLine="421"/>
        <w:spacing w:after="0" w:line="286" w:lineRule="auto"/>
        <w:tabs>
          <w:tab w:leader="none" w:pos="1605" w:val="left"/>
        </w:tabs>
        <w:numPr>
          <w:ilvl w:val="2"/>
          <w:numId w:val="388"/>
        </w:numPr>
        <w:rPr>
          <w:rFonts w:ascii="Arial" w:cs="Arial" w:eastAsia="Arial" w:hAnsi="Arial"/>
          <w:sz w:val="17"/>
          <w:szCs w:val="17"/>
          <w:color w:val="auto"/>
        </w:rPr>
      </w:pPr>
      <w:r>
        <w:rPr>
          <w:rFonts w:ascii="Arial" w:cs="Arial" w:eastAsia="Arial" w:hAnsi="Arial"/>
          <w:sz w:val="17"/>
          <w:szCs w:val="17"/>
          <w:color w:val="auto"/>
        </w:rPr>
        <w:t>and, in each such case,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57" w:lineRule="exact"/>
        <w:rPr>
          <w:rFonts w:ascii="Arial" w:cs="Arial" w:eastAsia="Arial" w:hAnsi="Arial"/>
          <w:sz w:val="17"/>
          <w:szCs w:val="17"/>
          <w:color w:val="auto"/>
        </w:rPr>
      </w:pPr>
    </w:p>
    <w:p>
      <w:pPr>
        <w:ind w:left="440" w:right="340" w:firstLine="443"/>
        <w:spacing w:after="0" w:line="264" w:lineRule="auto"/>
        <w:tabs>
          <w:tab w:leader="none" w:pos="1193"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Unrestricted Definitive Notes to Unrestricted Definitive Notes</w:t>
      </w:r>
      <w:r>
        <w:rPr>
          <w:rFonts w:ascii="Arial" w:cs="Arial" w:eastAsia="Arial" w:hAnsi="Arial"/>
          <w:sz w:val="18"/>
          <w:szCs w:val="18"/>
          <w:color w:val="auto"/>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73" w:lineRule="exact"/>
        <w:rPr>
          <w:rFonts w:ascii="Arial" w:cs="Arial" w:eastAsia="Arial" w:hAnsi="Arial"/>
          <w:sz w:val="18"/>
          <w:szCs w:val="18"/>
          <w:color w:val="auto"/>
        </w:rPr>
      </w:pPr>
    </w:p>
    <w:p>
      <w:pPr>
        <w:ind w:left="-20" w:right="740" w:firstLine="921"/>
        <w:spacing w:after="0" w:line="277" w:lineRule="auto"/>
        <w:tabs>
          <w:tab w:leader="none" w:pos="1118"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following legends shall appear on the face of all Global Notes and Definitive Notes issued under this Indenture unless specifically stated otherwise in the applicable provisions of this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60" w:top="274" w:right="259" w:bottom="1440" w:gutter="0" w:footer="0" w:header="0"/>
        </w:sectPr>
      </w:pPr>
    </w:p>
    <w:bookmarkStart w:id="251" w:name="page252"/>
    <w:bookmarkEnd w:id="251"/>
    <w:p>
      <w:pPr>
        <w:ind w:left="660" w:hanging="217"/>
        <w:spacing w:after="0"/>
        <w:tabs>
          <w:tab w:leader="none" w:pos="66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Private Placement Legend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21"/>
        <w:spacing w:after="0" w:line="277" w:lineRule="auto"/>
        <w:tabs>
          <w:tab w:leader="none" w:pos="1175" w:val="left"/>
        </w:tabs>
        <w:numPr>
          <w:ilvl w:val="1"/>
          <w:numId w:val="389"/>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62" w:lineRule="exact"/>
        <w:rPr>
          <w:sz w:val="20"/>
          <w:szCs w:val="20"/>
          <w:color w:val="auto"/>
        </w:rPr>
      </w:pPr>
    </w:p>
    <w:p>
      <w:pPr>
        <w:ind w:left="460"/>
        <w:spacing w:after="0" w:line="267" w:lineRule="auto"/>
        <w:rPr>
          <w:sz w:val="20"/>
          <w:szCs w:val="20"/>
          <w:color w:val="auto"/>
        </w:rPr>
      </w:pPr>
      <w:r>
        <w:rPr>
          <w:rFonts w:ascii="Arial" w:cs="Arial" w:eastAsia="Arial" w:hAnsi="Arial"/>
          <w:sz w:val="17"/>
          <w:szCs w:val="17"/>
          <w:color w:val="auto"/>
        </w:rPr>
        <w:t>“THE NOTE EVIDENCED HEREBY WAS ORIGINALLY ISSUED IN A TRANSACTION EXEMPT FROM REGISTRATION UNDER SECTION 5 OF THE UNITED STATES SECURITIES ACT OF 1933, AS AMENDED (THE “SECURITIES ACT”), AND THE NOTE EVIDENCED HEREBY MAY NOT BE OFFERED, SOLD, PLEDGED OR OTHERWISE TRANSFERRED IN THE ABSENCE OF SUCH REGISTRATION OR AN APPLICABLE EXEMPTION THEREFROM. EACH PURCHASER OF THE NOTE EVIDENCED HEREBY IS HEREBY NOTIFIED THAT THE SELLER MAY BE RELYING ON THE EXEMPTION FROM THE PROVISIONS OF SECTION 5 OF THE SECURITIES ACT PROVIDED BY RULE 144A THEREUNDER. THE HOLDER OF THE NOTE EVIDENCED HEREBY AGREES FOR THE BENEFIT OF THE COMPANY THAT (A) SUCH NOTE MAY BE OFFERED, SOLD, PLEDGED OR OTHERWISE TRANSFERRED ONLY (1) (a) IN THE UNITED STATES TO A PERSON WHO THE SELLER REASONABLY BELIEVES IS A QUALIFIED INSTITUTIONAL BUYER (AS DEFINED IN RULE 144A UNDER THE SECURITIES ACT) IN A TRANSACTION MEETING THE REQUIREMENTS OF RULE 144A, (b) OUTSIDE THE UNITED STATES IN AN OFFSHORE TRANSACTION IN ACCORDANCE WITH RULE 904 UNDER THE SECURITIES ACT, IN A TRANSACTION MEETING THE REQUIREMENTS OF RULE 144 UNDER THE SECURITIES ACT, TO AN INSTITUTIONAL “ACCREDITED INVESTOR” (AS DEFINED IN RULE 501 (a) (1), (2), (3) OR (7) UNDER THE SECURITIES ACT) THAT, PRIOR TO SUCH TRANSFER, FURNISHES THE TRUSTEE A SIGNED LETTER CONTAINING CERTAIN REPRESENTATIONS AND AGREEMENTS (THE FORM OF WHICH CAN BE OBTAINED FROM THE TRUSTEE) AND, IF SUCH TRANSFER IS IN RESPECT OF AN AGGREGATE PRINCIPAL AMOUNT OF NOTES LESS THAN $250,000, AN OPINION OF COUNSEL ACCEPTABLE TO THE COMPANY THAT SUCH TRANSFER IS IN COMPLIANCE WITH THE SECURITIES ACT OR (e) IN ACCORDANCE WITH ANOTHER EXEMPTION FROM THE REGISTRATION REQUIREMENTS OF THE SECURITIES ACT (AND BASED UPON AN OPINION OF COUNSEL IF THE COMPANY SO REQUESTS), (2) TO THE COMPANY OR (3) PURSUANT TO AN EFFECTIVE REGISTRATION STATEMENT AND, IN EACH CASE, IN ACCORDANCE WITH ANY APPLICABLE SECURITIES LAWS OF ANY STATE OF THE UNITED STATES OR ANY OTHER APPLICABLE JURISDICTION AND (B) THE HOLDER WILL, AND EACH SUBSEQUENT HOLDER IS REQUIRED TO, NOTIFY ANY PURCHASER FROM IT OF THE NOTE EVIDENCED HEREBY OF THE RESALE RESTRICTIONS SET FORTH IN (A) ABOVE.”</w:t>
      </w:r>
    </w:p>
    <w:p>
      <w:pPr>
        <w:spacing w:after="0" w:line="78" w:lineRule="exact"/>
        <w:rPr>
          <w:sz w:val="20"/>
          <w:szCs w:val="20"/>
          <w:color w:val="auto"/>
        </w:rPr>
      </w:pPr>
    </w:p>
    <w:p>
      <w:pPr>
        <w:ind w:left="460" w:right="60" w:firstLine="421"/>
        <w:spacing w:after="0" w:line="264" w:lineRule="auto"/>
        <w:tabs>
          <w:tab w:leader="none" w:pos="1165" w:val="left"/>
        </w:tabs>
        <w:numPr>
          <w:ilvl w:val="1"/>
          <w:numId w:val="390"/>
        </w:numPr>
        <w:rPr>
          <w:rFonts w:ascii="Arial" w:cs="Arial" w:eastAsia="Arial" w:hAnsi="Arial"/>
          <w:sz w:val="18"/>
          <w:szCs w:val="18"/>
          <w:color w:val="auto"/>
        </w:rPr>
      </w:pPr>
      <w:r>
        <w:rPr>
          <w:rFonts w:ascii="Arial" w:cs="Arial" w:eastAsia="Arial" w:hAnsi="Arial"/>
          <w:sz w:val="18"/>
          <w:szCs w:val="18"/>
          <w:color w:val="auto"/>
        </w:rPr>
        <w:t>Notwithstanding the foregoing, any Global Note or Definitive Note issued pursuant to subparagraph (b) (iv), (c)(iii), (c)(iv), (d)(ii), (d) (iii), (e)(ii) or (e)(iii) of this Section 2.06 (and all Notes issued in exchange therefor or substitution thereof) shall not bear the Private Placement Legend.</w:t>
      </w:r>
    </w:p>
    <w:p>
      <w:pPr>
        <w:spacing w:after="0" w:line="73" w:lineRule="exact"/>
        <w:rPr>
          <w:rFonts w:ascii="Arial" w:cs="Arial" w:eastAsia="Arial" w:hAnsi="Arial"/>
          <w:sz w:val="18"/>
          <w:szCs w:val="18"/>
          <w:color w:val="auto"/>
        </w:rPr>
      </w:pPr>
    </w:p>
    <w:p>
      <w:pPr>
        <w:ind w:right="480" w:firstLine="443"/>
        <w:spacing w:after="0" w:line="277" w:lineRule="auto"/>
        <w:tabs>
          <w:tab w:leader="none" w:pos="703"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Global Note Legend</w:t>
      </w:r>
      <w:r>
        <w:rPr>
          <w:rFonts w:ascii="Arial" w:cs="Arial" w:eastAsia="Arial" w:hAnsi="Arial"/>
          <w:sz w:val="18"/>
          <w:szCs w:val="18"/>
          <w:color w:val="auto"/>
        </w:rPr>
        <w:t>. Each Global Note representing the Notes shall bear a legend in substantially the following form (with appropriate changes in the last sentence if DTC is not the Depositary):</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0"/>
          </w:cols>
          <w:pgMar w:left="700" w:top="274" w:right="279" w:bottom="1440" w:gutter="0" w:footer="0" w:header="0"/>
        </w:sectPr>
      </w:pPr>
    </w:p>
    <w:bookmarkStart w:id="252" w:name="page253"/>
    <w:bookmarkEnd w:id="252"/>
    <w:p>
      <w:pPr>
        <w:ind w:left="8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2.06(g)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8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(iii) </w:t>
      </w:r>
      <w:r>
        <w:rPr>
          <w:rFonts w:ascii="Arial" w:cs="Arial" w:eastAsia="Arial" w:hAnsi="Arial"/>
          <w:sz w:val="16"/>
          <w:szCs w:val="16"/>
          <w:u w:val="single" w:color="auto"/>
          <w:color w:val="auto"/>
        </w:rPr>
        <w:t>Regulation S Temporary Global Note Legend</w:t>
      </w:r>
      <w:r>
        <w:rPr>
          <w:rFonts w:ascii="Arial" w:cs="Arial" w:eastAsia="Arial" w:hAnsi="Arial"/>
          <w:sz w:val="16"/>
          <w:szCs w:val="16"/>
          <w:color w:val="auto"/>
        </w:rPr>
        <w:t>. The Regulation S Temporary Global Note shall bear a legend in substantially the following</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form:</w:t>
      </w:r>
    </w:p>
    <w:p>
      <w:pPr>
        <w:spacing w:after="0" w:line="103" w:lineRule="exact"/>
        <w:rPr>
          <w:sz w:val="20"/>
          <w:szCs w:val="20"/>
          <w:color w:val="auto"/>
        </w:rPr>
      </w:pPr>
    </w:p>
    <w:p>
      <w:pPr>
        <w:ind w:left="880" w:right="140"/>
        <w:spacing w:after="0" w:line="255" w:lineRule="auto"/>
        <w:rPr>
          <w:sz w:val="20"/>
          <w:szCs w:val="20"/>
          <w:color w:val="auto"/>
        </w:rPr>
      </w:pPr>
      <w:r>
        <w:rPr>
          <w:rFonts w:ascii="Arial" w:cs="Arial" w:eastAsia="Arial" w:hAnsi="Arial"/>
          <w:sz w:val="18"/>
          <w:szCs w:val="18"/>
          <w:color w:val="auto"/>
        </w:rPr>
        <w:t>“THIS NOTE (OR ITS PREDECESSOR) WAS ORIGINALLY ISSUED IN A TRANSACTION ORIGINALLY EXEMPT FROM REGISTRATION UNDER THE U.S. SECURITIES ACT OF 1933, AS AMENDED (THE “SECURITIES ACT”), AND MAY NOT BE TRANSFERRED IN THE UNITED STATES OR TO, OR FOR THE ACCOUNT OR BENEFIT OF, ANY U.S. PERSON EXCEPT PURSUANT TO AN AVAILABLE EXEMPTION FROM THE REGISTRATION REQUIREMENTS OF THE SECURITIES ACT AND ALL APPLICABLE STATE SECURITIES LAWS. TERMS USED ABOVE HAVE THE MEANINGS GIVEN TO THEM IN REGULATION S UNDER THE SECURITIES ACT.”</w:t>
      </w:r>
    </w:p>
    <w:p>
      <w:pPr>
        <w:spacing w:after="0" w:line="85" w:lineRule="exact"/>
        <w:rPr>
          <w:sz w:val="20"/>
          <w:szCs w:val="20"/>
          <w:color w:val="auto"/>
        </w:rPr>
      </w:pPr>
    </w:p>
    <w:p>
      <w:pPr>
        <w:ind w:left="-40" w:right="60" w:firstLine="921"/>
        <w:spacing w:after="0" w:line="255" w:lineRule="auto"/>
        <w:tabs>
          <w:tab w:leader="none" w:pos="1128"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Cancellation and/or Adjustment of Global Notes</w:t>
      </w:r>
      <w:r>
        <w:rPr>
          <w:rFonts w:ascii="Arial" w:cs="Arial" w:eastAsia="Arial" w:hAnsi="Arial"/>
          <w:sz w:val="18"/>
          <w:szCs w:val="18"/>
          <w:color w:val="auto"/>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80" w:top="274" w:right="259" w:bottom="1440" w:gutter="0" w:footer="0" w:header="0"/>
        </w:sectPr>
      </w:pPr>
    </w:p>
    <w:bookmarkStart w:id="253" w:name="page254"/>
    <w:bookmarkEnd w:id="253"/>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62" w:lineRule="exact"/>
        <w:rPr>
          <w:sz w:val="20"/>
          <w:szCs w:val="20"/>
          <w:color w:val="auto"/>
        </w:rPr>
      </w:pPr>
    </w:p>
    <w:p>
      <w:pPr>
        <w:ind w:left="1160" w:hanging="257"/>
        <w:spacing w:after="0"/>
        <w:tabs>
          <w:tab w:leader="none" w:pos="116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General Provisions Relating to Transfers and Exchanges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380" w:firstLine="443"/>
        <w:spacing w:after="0" w:line="277" w:lineRule="auto"/>
        <w:tabs>
          <w:tab w:leader="none" w:pos="1113"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Issuer shall execute and the Trustee shall authenticate Global Notes and Definitive Notes upon receipt of an Authentication Order in accordance with Section 2.02 hereof or at the Registrar’s request.</w:t>
      </w:r>
    </w:p>
    <w:p>
      <w:pPr>
        <w:spacing w:after="0" w:line="62" w:lineRule="exact"/>
        <w:rPr>
          <w:sz w:val="20"/>
          <w:szCs w:val="20"/>
          <w:color w:val="auto"/>
        </w:rPr>
      </w:pPr>
    </w:p>
    <w:p>
      <w:pPr>
        <w:ind w:left="460" w:right="20" w:firstLine="443"/>
        <w:spacing w:after="0" w:line="259" w:lineRule="auto"/>
        <w:tabs>
          <w:tab w:leader="none" w:pos="116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2.07, 2.10, 3.06, 3.09, 4.10, 4.14 and 9.04 hereof).</w:t>
      </w:r>
    </w:p>
    <w:p>
      <w:pPr>
        <w:spacing w:after="0" w:line="78" w:lineRule="exact"/>
        <w:rPr>
          <w:rFonts w:ascii="Arial" w:cs="Arial" w:eastAsia="Arial" w:hAnsi="Arial"/>
          <w:sz w:val="18"/>
          <w:szCs w:val="18"/>
          <w:color w:val="auto"/>
        </w:rPr>
      </w:pPr>
    </w:p>
    <w:p>
      <w:pPr>
        <w:ind w:left="460" w:right="140" w:firstLine="443"/>
        <w:spacing w:after="0" w:line="277" w:lineRule="auto"/>
        <w:tabs>
          <w:tab w:leader="none" w:pos="121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Neither the Registrar nor the Issuer shall be required to register the transfer of or exchange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20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73" w:lineRule="exact"/>
        <w:rPr>
          <w:rFonts w:ascii="Arial" w:cs="Arial" w:eastAsia="Arial" w:hAnsi="Arial"/>
          <w:sz w:val="18"/>
          <w:szCs w:val="18"/>
          <w:color w:val="auto"/>
        </w:rPr>
      </w:pPr>
    </w:p>
    <w:p>
      <w:pPr>
        <w:ind w:left="460" w:right="160" w:firstLine="443"/>
        <w:spacing w:after="0" w:line="257" w:lineRule="auto"/>
        <w:tabs>
          <w:tab w:leader="none" w:pos="115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Issuer shall not be required (A) to issue, to register the transfer of or to exchange any Notes during a period beginning at the opening of business 15 days before the day of any selection of Notes for redemption under Section 3.02 hereof and ending at the close of business on the day of selection, (B) to register the transfer of or to exchange any Note so selected for redemption in whole or in part, except the unredeemed portion of any Note being redeemed in part or (C) to register the transfer of or to exchange a Note between a Record Date with respect to such Note and the next succeeding Interest Payment Date with respect to such Note.</w:t>
      </w:r>
    </w:p>
    <w:p>
      <w:pPr>
        <w:spacing w:after="0" w:line="80" w:lineRule="exact"/>
        <w:rPr>
          <w:rFonts w:ascii="Arial" w:cs="Arial" w:eastAsia="Arial" w:hAnsi="Arial"/>
          <w:sz w:val="18"/>
          <w:szCs w:val="18"/>
          <w:color w:val="auto"/>
        </w:rPr>
      </w:pPr>
    </w:p>
    <w:p>
      <w:pPr>
        <w:ind w:left="460" w:firstLine="443"/>
        <w:spacing w:after="0" w:line="312" w:lineRule="auto"/>
        <w:tabs>
          <w:tab w:leader="none" w:pos="1203" w:val="left"/>
        </w:tabs>
        <w:numPr>
          <w:ilvl w:val="0"/>
          <w:numId w:val="394"/>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premium, if any) and interest on such Notes and for all other purposes, and none of the Trustee, any Agent or the Issuer shall be affected by notice to the contrary.</w:t>
      </w:r>
    </w:p>
    <w:p>
      <w:pPr>
        <w:spacing w:after="0" w:line="38" w:lineRule="exact"/>
        <w:rPr>
          <w:rFonts w:ascii="Arial" w:cs="Arial" w:eastAsia="Arial" w:hAnsi="Arial"/>
          <w:sz w:val="16"/>
          <w:szCs w:val="16"/>
          <w:color w:val="auto"/>
        </w:rPr>
      </w:pPr>
    </w:p>
    <w:p>
      <w:pPr>
        <w:ind w:left="460" w:right="20" w:firstLine="443"/>
        <w:spacing w:after="0" w:line="264" w:lineRule="auto"/>
        <w:tabs>
          <w:tab w:leader="none" w:pos="125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Note at the office or agency of the Issuer designated pursuant to Section 4.02 hereof, the Issuer shall execute, and the Trustee shall authenticate and mail, in the name of the designated transferee or transferees, one or more replacement Notes of any authorized denomination or denominations of a like aggregate principal amount.</w:t>
      </w:r>
    </w:p>
    <w:p>
      <w:pPr>
        <w:spacing w:after="0" w:line="73" w:lineRule="exact"/>
        <w:rPr>
          <w:rFonts w:ascii="Arial" w:cs="Arial" w:eastAsia="Arial" w:hAnsi="Arial"/>
          <w:sz w:val="18"/>
          <w:szCs w:val="18"/>
          <w:color w:val="auto"/>
        </w:rPr>
      </w:pPr>
    </w:p>
    <w:p>
      <w:pPr>
        <w:ind w:left="460" w:right="80" w:firstLine="443"/>
        <w:spacing w:after="0" w:line="279" w:lineRule="auto"/>
        <w:tabs>
          <w:tab w:leader="none" w:pos="1303" w:val="left"/>
        </w:tabs>
        <w:numPr>
          <w:ilvl w:val="0"/>
          <w:numId w:val="394"/>
        </w:numPr>
        <w:rPr>
          <w:rFonts w:ascii="Arial" w:cs="Arial" w:eastAsia="Arial" w:hAnsi="Arial"/>
          <w:sz w:val="17"/>
          <w:szCs w:val="17"/>
          <w:color w:val="auto"/>
        </w:rPr>
      </w:pPr>
      <w:r>
        <w:rPr>
          <w:rFonts w:ascii="Arial" w:cs="Arial" w:eastAsia="Arial" w:hAnsi="Arial"/>
          <w:sz w:val="17"/>
          <w:szCs w:val="17"/>
          <w:color w:val="auto"/>
        </w:rPr>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mail, the replacement Global Notes and Definitive Notes which the Holder making the exchange is entitled to in accordance with the provisions of Section 2.02 hereof.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254" w:name="page255"/>
    <w:bookmarkEnd w:id="254"/>
    <w:p>
      <w:pPr>
        <w:ind w:left="460" w:right="440" w:firstLine="443"/>
        <w:spacing w:after="0" w:line="277" w:lineRule="auto"/>
        <w:tabs>
          <w:tab w:leader="none" w:pos="1203" w:val="left"/>
        </w:tabs>
        <w:numPr>
          <w:ilvl w:val="0"/>
          <w:numId w:val="3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certifications, certificates and Opinions of Counsel required to be submitted to the Registrar pursuant to this Section 2.06 to effect a registration of transfer or exchange may be submitted by facsimile.</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Replacement Notes</w:t>
      </w:r>
      <w:r>
        <w:rPr>
          <w:rFonts w:ascii="Arial" w:cs="Arial" w:eastAsia="Arial" w:hAnsi="Arial"/>
          <w:sz w:val="16"/>
          <w:szCs w:val="16"/>
          <w:color w:val="auto"/>
        </w:rPr>
        <w:t>. If any mutilated Note is surrendered to the Trustee, the Registrar or the Issuer and the Trustee receives evidence to its satisfaction of the ownership and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and the Issuer to protect the Issuer, the Trustee, any Agent and any authenticating agent from any loss that any of them may suffer if a Note is replaced. The Issuer and the Trustee may charge the Holder for their expenses in replacing a Note.</w:t>
      </w:r>
    </w:p>
    <w:p>
      <w:pPr>
        <w:spacing w:after="0" w:line="158"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Every replacement Note is a contractual obligation of the Issuer and shall be entitled to all of the benefits of this Indenture equally and proportionately with all other Notes duly issued hereunder.</w:t>
      </w:r>
    </w:p>
    <w:p>
      <w:pPr>
        <w:spacing w:after="0" w:line="170"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Outstanding Notes</w:t>
      </w:r>
      <w:r>
        <w:rPr>
          <w:rFonts w:ascii="Arial" w:cs="Arial" w:eastAsia="Arial" w:hAnsi="Arial"/>
          <w:sz w:val="18"/>
          <w:szCs w:val="18"/>
          <w:color w:val="auto"/>
        </w:rPr>
        <w:t>. 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a Guarantor or an Affiliate of the Issuer or a Guarantor holds the Note.</w:t>
      </w:r>
    </w:p>
    <w:p>
      <w:pPr>
        <w:spacing w:after="0" w:line="187"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 (as defined in Section 8-303 of the Uniform Commercial Code).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 accrue.</w:t>
      </w:r>
    </w:p>
    <w:p>
      <w:pPr>
        <w:spacing w:after="0" w:line="248"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If the Paying Agent (other than the Issuer, a Guarantor or an Affiliate of the Issuer or a Guarantor) holds, on a Redemption Date or maturity date, money sufficient to pay Notes (or portions thereof) payable on that date, then on and after that date such Notes (or portions thereof) shall be deemed to be no longer outstanding and shall cease to accrue interest.</w:t>
      </w:r>
    </w:p>
    <w:p>
      <w:pPr>
        <w:spacing w:after="0" w:line="181"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Treasury Notes</w:t>
      </w:r>
      <w:r>
        <w:rPr>
          <w:rFonts w:ascii="Arial" w:cs="Arial" w:eastAsia="Arial" w:hAnsi="Arial"/>
          <w:sz w:val="16"/>
          <w:szCs w:val="16"/>
          <w:color w:val="auto"/>
        </w:rPr>
        <w:t>. In determining whether the Holders of the required principal amount of Notes have concurred in any direction, waiver or consent, Notes owned by the Issuer, a Guarantor or by any Affiliate of the Issuer or a Guarantor,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a Guarantor or any obligor upon the Notes or any Affiliate of the Issuer, a Guarantor or of such other obligor.</w:t>
      </w:r>
    </w:p>
    <w:p>
      <w:pPr>
        <w:spacing w:after="0" w:line="273"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Temporary Notes</w:t>
      </w:r>
      <w:r>
        <w:rPr>
          <w:rFonts w:ascii="Arial" w:cs="Arial" w:eastAsia="Arial" w:hAnsi="Arial"/>
          <w:sz w:val="17"/>
          <w:szCs w:val="17"/>
          <w:color w:val="auto"/>
        </w:rPr>
        <w:t>. 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255" w:name="page256"/>
    <w:bookmarkEnd w:id="255"/>
    <w:p>
      <w:pPr>
        <w:ind w:right="2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and beneficial holders, as the case may be, of temporary Notes shall be entitled to all of the benefits accorded to Holders, or beneficial holders, respectively, of Notes under this Indenture.</w:t>
      </w:r>
    </w:p>
    <w:p>
      <w:pPr>
        <w:spacing w:after="0" w:line="17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Cancellation</w:t>
      </w:r>
      <w:r>
        <w:rPr>
          <w:rFonts w:ascii="Arial" w:cs="Arial" w:eastAsia="Arial" w:hAnsi="Arial"/>
          <w:sz w:val="18"/>
          <w:szCs w:val="18"/>
          <w:color w:val="auto"/>
        </w:rPr>
        <w:t>. The Issuer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destroy cancelled Notes (subject to the record retention requirement of the Exchange Act). Certification of the destruction of all cancelled Notes shall be delivered to the Issuer upon written request. The Issuer may not issue new Notes to replace Notes that it has paid or that have been delivered to the Trustee for cancellation.</w:t>
      </w:r>
    </w:p>
    <w:p>
      <w:pPr>
        <w:spacing w:after="0" w:line="19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Defaulted Interest</w:t>
      </w:r>
      <w:r>
        <w:rPr>
          <w:rFonts w:ascii="Arial" w:cs="Arial" w:eastAsia="Arial" w:hAnsi="Arial"/>
          <w:sz w:val="16"/>
          <w:szCs w:val="16"/>
          <w:color w:val="auto"/>
        </w:rPr>
        <w:t xml:space="preserve">. If the Issuer defaults in a payment of interest on the Notes, it shall pay the defaulted interest in any lawful manner plus, to the extent lawful, interest payable on the defaulted interest, in each case at the rate provided in the Notes and in Section 4.01 hereof. The Issuer may pay the defaulted interest to the Persons who are Holders on a subsequent special record date.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Trustee shall fix or cause to be fixed any such special record date and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special record date shall be less than 10 days prior to the related payment date for such defaulted interest. The Trustee shall promptly notify the Issuer of any such special record date. At least 15 days before any such special record date, the Issuer (or, upon the written request of the Issuer, the Trustee in the name and at the expense of the Issuer) shall send to each Holder, with a copy to the Trustee, a notice at his or her address as it appears in the Note Register that states the special record date, the related payment date and the amount of such interest to be paid.</w:t>
      </w:r>
    </w:p>
    <w:p>
      <w:pPr>
        <w:spacing w:after="0" w:line="17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which were carried by such other Note.</w:t>
      </w:r>
    </w:p>
    <w:p>
      <w:pPr>
        <w:spacing w:after="0" w:line="181"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CUSIP/ISIN Numbers</w:t>
      </w:r>
      <w:r>
        <w:rPr>
          <w:rFonts w:ascii="Arial" w:cs="Arial" w:eastAsia="Arial" w:hAnsi="Arial"/>
          <w:sz w:val="16"/>
          <w:szCs w:val="16"/>
          <w:color w:val="auto"/>
        </w:rPr>
        <w:t xml:space="preserve">. The Issuer in issuing the Notes may use CUSIP and ISIN numbers (in each case, if then generally in use) and, if so, the Trustee shall use CUSIP and ISIN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redemption shall not be affected by any defect in or omission of such numbers. The Issuer will as promptly as practicable notify the Trustee in writing of any change in the CUSIP and ISIN numbers.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REDEMPTION</w:t>
      </w:r>
    </w:p>
    <w:p>
      <w:pPr>
        <w:spacing w:after="0" w:line="225"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Notices to Trustee</w:t>
      </w:r>
      <w:r>
        <w:rPr>
          <w:rFonts w:ascii="Arial" w:cs="Arial" w:eastAsia="Arial" w:hAnsi="Arial"/>
          <w:sz w:val="16"/>
          <w:szCs w:val="16"/>
          <w:color w:val="auto"/>
        </w:rPr>
        <w:t>. If the Issuer elects to redeem Notes pursuant to Section 3.07 hereof, it shall furnish to the Trustee, at least 2 Business Days before notice of redemption is required to be mailed or caused to be sent to Holders pursuant to Section 3.03 hereof but not more than 60 days before a Redemption Date, an Officer’s Certificate of the Issuer setting forth (i) the paragraph or subparagraph of the Note and/or Section of this Indenture pursuant to which the redemption shall occur, (ii) the Redemption Date, (iii) the principal amount of the Notes to be redeemed and (iv) the redemption price.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256" w:name="page257"/>
    <w:bookmarkEnd w:id="256"/>
    <w:p>
      <w:pPr>
        <w:ind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3.02. </w:t>
      </w:r>
      <w:r>
        <w:rPr>
          <w:rFonts w:ascii="Arial" w:cs="Arial" w:eastAsia="Arial" w:hAnsi="Arial"/>
          <w:sz w:val="16"/>
          <w:szCs w:val="16"/>
          <w:u w:val="single" w:color="auto"/>
          <w:color w:val="auto"/>
        </w:rPr>
        <w:t>Selection of Notes to Be Redeemed</w:t>
      </w:r>
      <w:r>
        <w:rPr>
          <w:rFonts w:ascii="Arial" w:cs="Arial" w:eastAsia="Arial" w:hAnsi="Arial"/>
          <w:sz w:val="16"/>
          <w:szCs w:val="16"/>
          <w:color w:val="auto"/>
        </w:rPr>
        <w:t xml:space="preserve">. If less than all of the Notes are to be redeemed at any time, the Trustee shall select the Notes to be redeemed (a) if the Notes are listed on any national securities exchange, in compliance with the requirements of the principal national securities exchange on which the Notes are listed or (b)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to the extent practicable (and if the Notes are represented by one or more Global Notes, in accordance with the Applicable Procedures), or, if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is not practicable for any reason, by lot or by such other method the Trustee shall deem fair and appropriate. In the event of partial redemption by lot, the particular Notes to be redeemed shall be selected, unless otherwise provided herein, not less than 30 nor more than 60 days prior to the Redemption Date by the Trustee from the outstanding Notes not previously called for redemption.</w:t>
      </w:r>
    </w:p>
    <w:p>
      <w:pPr>
        <w:spacing w:after="0" w:line="165"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 Trustee shall promptly notify the Issuer in writing of the Notes selected for redemption and, in the case of any Note selected for partial redemption, the principal amount thereof to be redeemed. Notes and portions of Notes selected shall be in amounts of $2,000 or whole multiples of $1,000 in excess thereof; no Notes of less than $2,000 can be redeemed in part, except that if all of the Notes of a Holder are to be redeemed, the entire outstanding amount of Notes held by such Holder, even if not a multiple of $1,000 shall be redeemed. Except as provided in the preceding sentence, provisions of this Indenture that apply to Notes called for redemption also apply to portions of Notes called for redemption.</w:t>
      </w:r>
    </w:p>
    <w:p>
      <w:pPr>
        <w:spacing w:after="0" w:line="17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Subject to Section 3.09 hereof, the Issuer shall transmit or cause to be transmitted notices of redemption at least 30 days but not more than 60 days before the Redemption Date to each Holder of Notes to be redeemed at such Holder’s registered address or otherwise in accordance with Applicable Procedures, except that redemption notices may be transmitted more than 60 days prior to a Redemption Date if the notice is issued in connection with Article 8 or Article 12 hereof. Except pursuant to a notice of redemption delivered in accordance with a redemption pursuant to Sections 3.07(b) hereof, notices of redemption may not be conditional.</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notice shall identify the Notes to be redeemed and shall state:</w:t>
      </w:r>
    </w:p>
    <w:p>
      <w:pPr>
        <w:spacing w:after="0" w:line="117" w:lineRule="exact"/>
        <w:rPr>
          <w:sz w:val="20"/>
          <w:szCs w:val="20"/>
          <w:color w:val="auto"/>
        </w:rPr>
      </w:pPr>
    </w:p>
    <w:p>
      <w:pPr>
        <w:ind w:left="1160" w:hanging="239"/>
        <w:spacing w:after="0"/>
        <w:tabs>
          <w:tab w:leader="none" w:pos="11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right="200" w:firstLine="921"/>
        <w:spacing w:after="0" w:line="312" w:lineRule="auto"/>
        <w:tabs>
          <w:tab w:leader="none" w:pos="1158" w:val="left"/>
        </w:tabs>
        <w:numPr>
          <w:ilvl w:val="0"/>
          <w:numId w:val="396"/>
        </w:numPr>
        <w:rPr>
          <w:rFonts w:ascii="Arial" w:cs="Arial" w:eastAsia="Arial" w:hAnsi="Arial"/>
          <w:sz w:val="16"/>
          <w:szCs w:val="16"/>
          <w:color w:val="auto"/>
        </w:rPr>
      </w:pPr>
      <w:r>
        <w:rPr>
          <w:rFonts w:ascii="Arial" w:cs="Arial" w:eastAsia="Arial" w:hAnsi="Arial"/>
          <w:sz w:val="16"/>
          <w:szCs w:val="16"/>
          <w:color w:val="auto"/>
        </w:rPr>
        <w:t>if any Note is to be redeemed in part only, the portion of the principal amount of that Note that is to be redeemed and that, after the Redemption Date upon surrender of such Note, a new Note or Notes in principal amount equal to the unredeemed portion of the original Note representing the same indebtedness to the extent not redeemed will be issued in the name of the Holder of the Notes upon cancellation of the original Note;</w:t>
      </w:r>
    </w:p>
    <w:p>
      <w:pPr>
        <w:spacing w:after="0" w:line="38" w:lineRule="exact"/>
        <w:rPr>
          <w:rFonts w:ascii="Arial" w:cs="Arial" w:eastAsia="Arial" w:hAnsi="Arial"/>
          <w:sz w:val="16"/>
          <w:szCs w:val="16"/>
          <w:color w:val="auto"/>
        </w:rPr>
      </w:pPr>
    </w:p>
    <w:p>
      <w:pPr>
        <w:ind w:left="1180" w:hanging="259"/>
        <w:spacing w:after="0"/>
        <w:tabs>
          <w:tab w:leader="none" w:pos="11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right="100" w:firstLine="921"/>
        <w:spacing w:after="0" w:line="277" w:lineRule="auto"/>
        <w:tabs>
          <w:tab w:leader="none" w:pos="113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that, unless the Issuer defaults in making such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paragraph or subparagraph of the Notes and/or Section of this Indenture pursuant to which the Notes called for redemption are being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redeemed;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74" w:right="299" w:bottom="1440" w:gutter="0" w:footer="0" w:header="0"/>
        </w:sectPr>
      </w:pPr>
    </w:p>
    <w:bookmarkStart w:id="257" w:name="page258"/>
    <w:bookmarkEnd w:id="257"/>
    <w:p>
      <w:pPr>
        <w:ind w:right="60" w:firstLine="921"/>
        <w:spacing w:after="0" w:line="277" w:lineRule="auto"/>
        <w:tabs>
          <w:tab w:leader="none" w:pos="1168" w:val="left"/>
        </w:tabs>
        <w:numPr>
          <w:ilvl w:val="0"/>
          <w:numId w:val="3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CUSIP and ISIN number, if any, printed on the Notes being redeemed and that no representation is made as to the correctness or accuracy of any such CUSIP and ISIN number that is listed in such notice or printed on the Notes; and</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if in connection with a redemption pursuant to Section 3.07(b) hereof, any condition to such redemption.</w:t>
      </w:r>
    </w:p>
    <w:p>
      <w:pPr>
        <w:spacing w:after="0" w:line="225"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 xml:space="preserve">At the Issuer’s request, the Trustee shall give the notice of redemption in the Issuer’s name and at its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Issuer shall have delivered to the Trustee, at least 2 Business Days before notice of redemption is required to be transmitted or caused to be transmitted to Holders pursuant to this Section 3.03 (unless a shorter notice shall be agreed to by the Trustee), an Officer’s Certificate of the Issuer requesting that the Trustee give such notice and setting forth the information to be stated in such notice as provided in the preceding paragraph.</w:t>
      </w:r>
    </w:p>
    <w:p>
      <w:pPr>
        <w:spacing w:after="0" w:line="171" w:lineRule="exact"/>
        <w:rPr>
          <w:sz w:val="20"/>
          <w:szCs w:val="20"/>
          <w:color w:val="auto"/>
        </w:rPr>
      </w:pPr>
    </w:p>
    <w:p>
      <w:pPr>
        <w:jc w:val="both"/>
        <w:ind w:right="60" w:firstLine="913"/>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 Once notice of redemption is transmitted in accordance with Section 3.03 hereof, Notes called for redemption become irrevocably due and payable on the Redemption Date at the redemption price (except as provided for in Sections 3.07(b) hereof). The notice, if transmitted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hereof, on and after the Redemption Date, interest ceases to accrue on Notes or portions of Notes called for redemption.</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59" w:lineRule="auto"/>
        <w:tabs>
          <w:tab w:leader="none" w:pos="115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Prior to 11:00 A.M. (New York City time) on the Redemption Date, the Issuer shall deposit with the Trustee or with the Paying Agent money sufficient to pay the redemption price of and accrued and unpaid interest on all Notes to be redeemed on that Redemption Date. The Trustee or the Paying Agent shall promptly return to the Issuer any money deposited with the Trustee or the Paying Agent by the Issuer in excess of the amounts necessary to pay the redemption price of, and accrued and unpaid interest on, all Notes to be redeemed.</w:t>
      </w:r>
    </w:p>
    <w:p>
      <w:pPr>
        <w:spacing w:after="0" w:line="186" w:lineRule="exact"/>
        <w:rPr>
          <w:rFonts w:ascii="Arial" w:cs="Arial" w:eastAsia="Arial" w:hAnsi="Arial"/>
          <w:sz w:val="18"/>
          <w:szCs w:val="18"/>
          <w:color w:val="auto"/>
        </w:rPr>
      </w:pPr>
    </w:p>
    <w:p>
      <w:pPr>
        <w:ind w:firstLine="921"/>
        <w:spacing w:after="0" w:line="255" w:lineRule="auto"/>
        <w:tabs>
          <w:tab w:leader="none" w:pos="116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If the Issuer complies with the provisions of the preceding paragraph (a), on and after the Redemption Date, interest shall cease to accrue on the applicable series of Notes or the portions of Notes called for redemption. If a Note is redeemed on or after a Record Date but on or prior to the related Interest Payment Date, then any accrued and unpaid interest to the Redemption Date shall be paid to the Person in whose name such Note was registered at the close of business on such Record Date. If any Note called for redemption shall not be so paid upon surrender for redemption because of the failure of the Issuer to comply with the preceding paragraph, interest shall be paid on the unpaid principal, from the Redemption Date until such principal is paid, and to the extent lawful on any interest accrued to the Redemption Date not paid on such unpaid principal, in each case at the rate provided in the Notes and in Section 4.01 hereof.</w:t>
      </w:r>
    </w:p>
    <w:p>
      <w:pPr>
        <w:spacing w:after="0" w:line="189"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Notes Redeemed in Part</w:t>
      </w:r>
      <w:r>
        <w:rPr>
          <w:rFonts w:ascii="Arial" w:cs="Arial" w:eastAsia="Arial" w:hAnsi="Arial"/>
          <w:sz w:val="17"/>
          <w:szCs w:val="17"/>
          <w:color w:val="auto"/>
        </w:rPr>
        <w:t>. Upon surrender of a Note that is redeemed in part, the Issuer shall issue and the Trustee shall authenticate for the Holder at the expense of the Issuer a new Note equal in principal amount to the unredeemed portion of the Note surrendered representing the same indebtedness to the extent not redeemed; provided that each new Note will be in a principal amount of $2,000 or an integral multiple of $1,000 in excess thereof. It is understood that, notwithstanding anything in this Indenture to the contrary, only an Authentication Order and not an Opinion of Counsel or Officer’s Certificate of the Issuer is required for the Trustee to authenticate such new Note.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258" w:name="page259"/>
    <w:bookmarkEnd w:id="25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3.07.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9" w:lineRule="auto"/>
        <w:tabs>
          <w:tab w:leader="none" w:pos="115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At any time prior to November 15, 2016, the Issuer may redeem all or a part of the Notes, upon notice in accordance with Section 3.03, at a redemption price equal to 100% of the principal amount of the Notes redeemed plus the Applicable Premium as of, and accrued and unpaid interest, if any, to, the date of redemption (the “</w:t>
      </w:r>
      <w:r>
        <w:rPr>
          <w:rFonts w:ascii="Arial" w:cs="Arial" w:eastAsia="Arial" w:hAnsi="Arial"/>
          <w:sz w:val="18"/>
          <w:szCs w:val="18"/>
          <w:u w:val="single" w:color="auto"/>
          <w:color w:val="auto"/>
        </w:rPr>
        <w:t>Redemption Date</w:t>
      </w:r>
      <w:r>
        <w:rPr>
          <w:rFonts w:ascii="Arial" w:cs="Arial" w:eastAsia="Arial" w:hAnsi="Arial"/>
          <w:sz w:val="18"/>
          <w:szCs w:val="18"/>
          <w:color w:val="auto"/>
        </w:rPr>
        <w:t>”), subject to the right of Holders of record on the relevant record date to receive interest due on the relevant interest payment date.</w:t>
      </w:r>
    </w:p>
    <w:p>
      <w:pPr>
        <w:spacing w:after="0" w:line="78" w:lineRule="exact"/>
        <w:rPr>
          <w:rFonts w:ascii="Arial" w:cs="Arial" w:eastAsia="Arial" w:hAnsi="Arial"/>
          <w:sz w:val="18"/>
          <w:szCs w:val="18"/>
          <w:color w:val="auto"/>
        </w:rPr>
      </w:pPr>
    </w:p>
    <w:p>
      <w:pPr>
        <w:ind w:firstLine="921"/>
        <w:spacing w:after="0" w:line="293" w:lineRule="auto"/>
        <w:tabs>
          <w:tab w:leader="none" w:pos="1168"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Until November 15, 2016, the Issuer may, at its option, redeem up to 35% of the aggregate principal amount of Notes issued by it at a redemption price equal to 106.000% of the aggregate principal amount thereof, plus accrued and unpaid interest, if any, to, the Redemption Date, subject to the right of Holders of Notes of record on the relevant record date to receive interest due on the relevant interest payment date, with the net cash proceeds received by it from one or more Equity Offerings;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at least 50% of the sum of the aggregate principal amount of Notes originally issued under this Indenture and any Additional Notes that are Notes issued under this Indenture after the Issue Date remain outstanding immediately after the occurrence of each such redemption; and (ii) each such redemption occurs within 180 days of the date of closing of each such Equity Offering.</w:t>
      </w:r>
    </w:p>
    <w:p>
      <w:pPr>
        <w:spacing w:after="0" w:line="56" w:lineRule="exact"/>
        <w:rPr>
          <w:rFonts w:ascii="Arial" w:cs="Arial" w:eastAsia="Arial" w:hAnsi="Arial"/>
          <w:sz w:val="16"/>
          <w:szCs w:val="16"/>
          <w:color w:val="auto"/>
        </w:rPr>
      </w:pPr>
    </w:p>
    <w:p>
      <w:pPr>
        <w:ind w:left="1160" w:hanging="239"/>
        <w:spacing w:after="0"/>
        <w:tabs>
          <w:tab w:leader="none" w:pos="116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Except pursuant to clause (a) or (b) of this Section 3.07, the Notes will not be redeemable at the Issuer’s option prior to November 15, 2016.</w:t>
      </w:r>
    </w:p>
    <w:p>
      <w:pPr>
        <w:spacing w:after="0" w:line="140" w:lineRule="exact"/>
        <w:rPr>
          <w:rFonts w:ascii="Arial" w:cs="Arial" w:eastAsia="Arial" w:hAnsi="Arial"/>
          <w:sz w:val="16"/>
          <w:szCs w:val="16"/>
          <w:color w:val="auto"/>
        </w:rPr>
      </w:pPr>
    </w:p>
    <w:p>
      <w:pPr>
        <w:ind w:right="80" w:firstLine="921"/>
        <w:spacing w:after="0" w:line="279" w:lineRule="auto"/>
        <w:tabs>
          <w:tab w:leader="none" w:pos="1168" w:val="left"/>
        </w:tabs>
        <w:numPr>
          <w:ilvl w:val="0"/>
          <w:numId w:val="399"/>
        </w:numPr>
        <w:rPr>
          <w:rFonts w:ascii="Arial" w:cs="Arial" w:eastAsia="Arial" w:hAnsi="Arial"/>
          <w:sz w:val="17"/>
          <w:szCs w:val="17"/>
          <w:color w:val="auto"/>
        </w:rPr>
      </w:pPr>
      <w:r>
        <w:rPr>
          <w:rFonts w:ascii="Arial" w:cs="Arial" w:eastAsia="Arial" w:hAnsi="Arial"/>
          <w:sz w:val="17"/>
          <w:szCs w:val="17"/>
          <w:color w:val="auto"/>
        </w:rPr>
        <w:t>On and after November 15, 2016, the Issuer may redeem the Notes, in whole or in part, upon notice in accordance with Section 3.03 at the redemption prices (expressed as percentages of principal amount of the Notes to be redeemed) set forth below, plus accrued and unpaid interest, if any, to the Redemption Date, subject to the right of Holders of record on the relevant record date to receive interest due on the relevant interest payment date, if redeemed during the twelve-month period beginning on November 15 of each of the years indicated below:</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3840" w:type="dxa"/>
            <w:vAlign w:val="bottom"/>
          </w:tcPr>
          <w:p>
            <w:pPr>
              <w:spacing w:after="0"/>
              <w:rPr>
                <w:sz w:val="14"/>
                <w:szCs w:val="14"/>
                <w:color w:val="auto"/>
              </w:rPr>
            </w:pPr>
          </w:p>
        </w:tc>
        <w:tc>
          <w:tcPr>
            <w:tcW w:w="3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4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2016</w:t>
            </w:r>
          </w:p>
        </w:tc>
        <w:tc>
          <w:tcPr>
            <w:tcW w:w="27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gridSpan w:val="2"/>
            <w:vMerge w:val="continue"/>
            <w:shd w:val="clear" w:color="auto" w:fill="CCEEFF"/>
          </w:tcPr>
          <w:p>
            <w:pPr>
              <w:spacing w:after="0"/>
              <w:rPr>
                <w:sz w:val="17"/>
                <w:szCs w:val="17"/>
                <w:color w:val="auto"/>
              </w:rPr>
            </w:pPr>
          </w:p>
        </w:tc>
        <w:tc>
          <w:tcPr>
            <w:tcW w:w="27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104.500%</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2017</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101.500%</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2019 and thereafter</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 Any redemption pursuant to this Section 3.07 shall be made pursuant to the provisions of Sections 3.01 through 3.06 hereof.</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Mandatory Redemption</w:t>
      </w:r>
      <w:r>
        <w:rPr>
          <w:rFonts w:ascii="Arial" w:cs="Arial" w:eastAsia="Arial" w:hAnsi="Arial"/>
          <w:sz w:val="18"/>
          <w:szCs w:val="18"/>
          <w:color w:val="auto"/>
        </w:rPr>
        <w:t>. The Issuer shall not be required to make any mandatory redemption or sinking fund payments with respect to the Notes.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Offers to Repurchase by Application of Excess Proceeds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77" w:lineRule="auto"/>
        <w:tabs>
          <w:tab w:leader="none" w:pos="115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In the event that, pursuant to Section 4.10 hereof, the Issuer shall be required to commence an Asset Sale Offer, it shall follow the procedures specified below.</w:t>
      </w:r>
    </w:p>
    <w:p>
      <w:pPr>
        <w:spacing w:after="0" w:line="62" w:lineRule="exact"/>
        <w:rPr>
          <w:rFonts w:ascii="Arial" w:cs="Arial" w:eastAsia="Arial" w:hAnsi="Arial"/>
          <w:sz w:val="18"/>
          <w:szCs w:val="18"/>
          <w:color w:val="auto"/>
        </w:rPr>
      </w:pPr>
    </w:p>
    <w:p>
      <w:pPr>
        <w:ind w:firstLine="921"/>
        <w:spacing w:after="0" w:line="255" w:lineRule="auto"/>
        <w:tabs>
          <w:tab w:leader="none" w:pos="116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Asset Sale Offer shall remain open for a period of 20 Business Days following its commencement and no longer, except to the extent that a longer period is required by applicable law (the “</w:t>
      </w:r>
      <w:r>
        <w:rPr>
          <w:rFonts w:ascii="Arial" w:cs="Arial" w:eastAsia="Arial" w:hAnsi="Arial"/>
          <w:sz w:val="18"/>
          <w:szCs w:val="18"/>
          <w:u w:val="single" w:color="auto"/>
          <w:color w:val="auto"/>
        </w:rPr>
        <w:t>Offer Period</w:t>
      </w:r>
      <w:r>
        <w:rPr>
          <w:rFonts w:ascii="Arial" w:cs="Arial" w:eastAsia="Arial" w:hAnsi="Arial"/>
          <w:sz w:val="18"/>
          <w:szCs w:val="18"/>
          <w:color w:val="auto"/>
        </w:rPr>
        <w:t>”). No later than five Business Days after the termination of the Offer Period (the “</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Issuer shall apply all Excess Proceeds (the “</w:t>
      </w:r>
      <w:r>
        <w:rPr>
          <w:rFonts w:ascii="Arial" w:cs="Arial" w:eastAsia="Arial" w:hAnsi="Arial"/>
          <w:sz w:val="18"/>
          <w:szCs w:val="18"/>
          <w:u w:val="single" w:color="auto"/>
          <w:color w:val="auto"/>
        </w:rPr>
        <w:t>Offer Amount</w:t>
      </w:r>
      <w:r>
        <w:rPr>
          <w:rFonts w:ascii="Arial" w:cs="Arial" w:eastAsia="Arial" w:hAnsi="Arial"/>
          <w:sz w:val="18"/>
          <w:szCs w:val="18"/>
          <w:color w:val="auto"/>
        </w:rPr>
        <w:t xml:space="preserve">”) to the purchase of Notes and, if required, any other Indebtedness constituting First Lien Obligations (on a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rata basis, if applicable), or, if less than the Offer Amount has been tendered, all Notes and any other Indebtedness constituting First Lien Obligations tendered in response to the Asset Sale Offer. Payment for any Notes so purchased shall be made in the same manner as interest payments are made.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259" w:name="page260"/>
    <w:bookmarkEnd w:id="259"/>
    <w:p>
      <w:pPr>
        <w:ind w:left="-40" w:right="220" w:firstLine="921"/>
        <w:spacing w:after="0" w:line="264" w:lineRule="auto"/>
        <w:tabs>
          <w:tab w:leader="none" w:pos="1118" w:val="left"/>
        </w:tabs>
        <w:numPr>
          <w:ilvl w:val="1"/>
          <w:numId w:val="4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Purchase Date is on or after a Record Date and on or before the related Interest Payment Date, any accrued and unpaid interest, up to but excluding the Purchase Date, shall be paid to the Person in whose name a Note is registered at the close of business on such Record Date, and no additional interest shall be payable to Holders who tender Notes pursuant to the Asset Sale Offer.</w:t>
      </w:r>
    </w:p>
    <w:p>
      <w:pPr>
        <w:spacing w:after="0" w:line="73" w:lineRule="exact"/>
        <w:rPr>
          <w:rFonts w:ascii="Arial" w:cs="Arial" w:eastAsia="Arial" w:hAnsi="Arial"/>
          <w:sz w:val="18"/>
          <w:szCs w:val="18"/>
          <w:color w:val="auto"/>
        </w:rPr>
      </w:pPr>
    </w:p>
    <w:p>
      <w:pPr>
        <w:ind w:left="-40" w:right="120" w:firstLine="921"/>
        <w:spacing w:after="0" w:line="259" w:lineRule="auto"/>
        <w:tabs>
          <w:tab w:leader="none" w:pos="1128" w:val="left"/>
        </w:tabs>
        <w:numPr>
          <w:ilvl w:val="1"/>
          <w:numId w:val="401"/>
        </w:numPr>
        <w:rPr>
          <w:rFonts w:ascii="Arial" w:cs="Arial" w:eastAsia="Arial" w:hAnsi="Arial"/>
          <w:sz w:val="18"/>
          <w:szCs w:val="18"/>
          <w:color w:val="auto"/>
        </w:rPr>
      </w:pPr>
      <w:r>
        <w:rPr>
          <w:rFonts w:ascii="Arial" w:cs="Arial" w:eastAsia="Arial" w:hAnsi="Arial"/>
          <w:sz w:val="18"/>
          <w:szCs w:val="18"/>
          <w:color w:val="auto"/>
        </w:rPr>
        <w:t>Upon the commencement of an Asset Sale Offer, the Issuer shall send a notice to each of the Holders, with a copy to the Trustee. The notice shall contain all instructions and materials necessary to enable such Holders to tender Notes pursuant to the Asset Sale Offer. The Asset Sale Offer shall be made to all Holders and holders of any other Indebtedness constituting First Lien Obligations. The notice, which shall govern the terms of the Asset Sale Offer, shall state:</w:t>
      </w:r>
    </w:p>
    <w:p>
      <w:pPr>
        <w:spacing w:after="0" w:line="78" w:lineRule="exact"/>
        <w:rPr>
          <w:rFonts w:ascii="Arial" w:cs="Arial" w:eastAsia="Arial" w:hAnsi="Arial"/>
          <w:sz w:val="18"/>
          <w:szCs w:val="18"/>
          <w:color w:val="auto"/>
        </w:rPr>
      </w:pPr>
    </w:p>
    <w:p>
      <w:pPr>
        <w:ind w:left="420" w:right="100" w:firstLine="443"/>
        <w:spacing w:after="0" w:line="277" w:lineRule="auto"/>
        <w:tabs>
          <w:tab w:leader="none" w:pos="107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3.09 and Section 4.10 hereof and the length of time the Asset Sale Offer shall remain open;</w:t>
      </w:r>
    </w:p>
    <w:p>
      <w:pPr>
        <w:spacing w:after="0" w:line="62" w:lineRule="exact"/>
        <w:rPr>
          <w:rFonts w:ascii="Arial" w:cs="Arial" w:eastAsia="Arial" w:hAnsi="Arial"/>
          <w:sz w:val="18"/>
          <w:szCs w:val="18"/>
          <w:color w:val="auto"/>
        </w:rPr>
      </w:pPr>
    </w:p>
    <w:p>
      <w:pPr>
        <w:ind w:left="1120" w:hanging="257"/>
        <w:spacing w:after="0"/>
        <w:tabs>
          <w:tab w:leader="none" w:pos="11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117" w:lineRule="exact"/>
        <w:rPr>
          <w:rFonts w:ascii="Arial" w:cs="Arial" w:eastAsia="Arial" w:hAnsi="Arial"/>
          <w:sz w:val="18"/>
          <w:szCs w:val="18"/>
          <w:color w:val="auto"/>
        </w:rPr>
      </w:pPr>
    </w:p>
    <w:p>
      <w:pPr>
        <w:ind w:left="1180" w:hanging="317"/>
        <w:spacing w:after="0"/>
        <w:tabs>
          <w:tab w:leader="none" w:pos="11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shall continue to accrue interest;</w:t>
      </w:r>
    </w:p>
    <w:p>
      <w:pPr>
        <w:spacing w:after="0" w:line="117" w:lineRule="exact"/>
        <w:rPr>
          <w:rFonts w:ascii="Arial" w:cs="Arial" w:eastAsia="Arial" w:hAnsi="Arial"/>
          <w:sz w:val="18"/>
          <w:szCs w:val="18"/>
          <w:color w:val="auto"/>
        </w:rPr>
      </w:pPr>
    </w:p>
    <w:p>
      <w:pPr>
        <w:ind w:left="420" w:firstLine="443"/>
        <w:spacing w:after="0" w:line="277" w:lineRule="auto"/>
        <w:tabs>
          <w:tab w:leader="none" w:pos="116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that, unless the Issuer defaults in making such payment, any Note accepted for payment pursuant to the Asset Sale Offer shall cease to accrue interest after the Purchase Date;</w:t>
      </w:r>
    </w:p>
    <w:p>
      <w:pPr>
        <w:spacing w:after="0" w:line="62" w:lineRule="exact"/>
        <w:rPr>
          <w:rFonts w:ascii="Arial" w:cs="Arial" w:eastAsia="Arial" w:hAnsi="Arial"/>
          <w:sz w:val="18"/>
          <w:szCs w:val="18"/>
          <w:color w:val="auto"/>
        </w:rPr>
      </w:pPr>
    </w:p>
    <w:p>
      <w:pPr>
        <w:ind w:left="420" w:right="240" w:firstLine="443"/>
        <w:spacing w:after="0" w:line="277" w:lineRule="auto"/>
        <w:tabs>
          <w:tab w:leader="none" w:pos="111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that any Holder electing to have less than all of the aggregate principal amount of its Notes purchased pursuant to an Asset Sale Offer may elect to have Notes purchased in denominations of $2,000 or whole multiples of $1,000 in excess thereof;</w:t>
      </w:r>
    </w:p>
    <w:p>
      <w:pPr>
        <w:spacing w:after="0" w:line="62" w:lineRule="exact"/>
        <w:rPr>
          <w:rFonts w:ascii="Arial" w:cs="Arial" w:eastAsia="Arial" w:hAnsi="Arial"/>
          <w:sz w:val="18"/>
          <w:szCs w:val="18"/>
          <w:color w:val="auto"/>
        </w:rPr>
      </w:pPr>
    </w:p>
    <w:p>
      <w:pPr>
        <w:jc w:val="both"/>
        <w:ind w:left="420" w:right="540" w:firstLine="443"/>
        <w:spacing w:after="0" w:line="312" w:lineRule="auto"/>
        <w:tabs>
          <w:tab w:leader="none" w:pos="1163"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that Holders electing to have a Note purchased pursuant to any Asset Sale Offer shall be required to surrender the Note, with the form entitled “Option of Holder to Elect Purchase” attached to the Note completed, or transfer by book-entry transfer, to the Issuer, the Depositary, if appointed by the Issuer, or a Paying Agent at the address specified in the notice at least two Business Days before the Purchase Date;</w:t>
      </w:r>
    </w:p>
    <w:p>
      <w:pPr>
        <w:spacing w:after="0" w:line="38" w:lineRule="exact"/>
        <w:rPr>
          <w:rFonts w:ascii="Arial" w:cs="Arial" w:eastAsia="Arial" w:hAnsi="Arial"/>
          <w:sz w:val="16"/>
          <w:szCs w:val="16"/>
          <w:color w:val="auto"/>
        </w:rPr>
      </w:pPr>
    </w:p>
    <w:p>
      <w:pPr>
        <w:ind w:left="420" w:right="40" w:firstLine="443"/>
        <w:spacing w:after="0" w:line="286" w:lineRule="auto"/>
        <w:tabs>
          <w:tab w:leader="none" w:pos="1213"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that Holders shall be entitled to withdraw their election if the Issuer,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spacing w:after="0" w:line="57" w:lineRule="exact"/>
        <w:rPr>
          <w:rFonts w:ascii="Arial" w:cs="Arial" w:eastAsia="Arial" w:hAnsi="Arial"/>
          <w:sz w:val="17"/>
          <w:szCs w:val="17"/>
          <w:color w:val="auto"/>
        </w:rPr>
      </w:pPr>
    </w:p>
    <w:p>
      <w:pPr>
        <w:ind w:left="420" w:firstLine="443"/>
        <w:spacing w:after="0" w:line="257" w:lineRule="auto"/>
        <w:tabs>
          <w:tab w:leader="none" w:pos="126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that, if the aggregate principal amount of Notes and any other Indebtedness constituting First Lien Obligations surrendered by the holders thereof exceeds the Offer Amount, the Trustee shall select the Notes and such other Indebtedness constituting First Lien Obligations to be purchased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based on the accreted value or principal amount of the Notes or such other Indebtedness constituting First Lien Obligations tendered (with such adjustments as may be deemed appropriate by the Trustee so that only Notes in denominations of $2,000 or whole multiples of $1,000 in excess thereof are purchased); and</w:t>
      </w:r>
    </w:p>
    <w:p>
      <w:pPr>
        <w:spacing w:after="0" w:line="80" w:lineRule="exact"/>
        <w:rPr>
          <w:rFonts w:ascii="Arial" w:cs="Arial" w:eastAsia="Arial" w:hAnsi="Arial"/>
          <w:sz w:val="18"/>
          <w:szCs w:val="18"/>
          <w:color w:val="auto"/>
        </w:rPr>
      </w:pPr>
    </w:p>
    <w:p>
      <w:pPr>
        <w:ind w:left="420" w:right="40" w:firstLine="443"/>
        <w:spacing w:after="0" w:line="308" w:lineRule="auto"/>
        <w:tabs>
          <w:tab w:leader="none" w:pos="1163"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that Holders whose Notes were purchased only in part shall be issued new Notes equal in principal amount to the unpurchased portion of the Notes surrendered (or transferred by book-entry transfer) representing the same indebtedness to the extent not repurchased.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80" w:top="274" w:right="279" w:bottom="1440" w:gutter="0" w:footer="0" w:header="0"/>
        </w:sectPr>
      </w:pPr>
    </w:p>
    <w:bookmarkStart w:id="260" w:name="page261"/>
    <w:bookmarkEnd w:id="260"/>
    <w:p>
      <w:pPr>
        <w:ind w:left="1160" w:hanging="239"/>
        <w:spacing w:after="0"/>
        <w:tabs>
          <w:tab w:leader="none" w:pos="1160" w:val="left"/>
        </w:tabs>
        <w:numPr>
          <w:ilvl w:val="1"/>
          <w:numId w:val="4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 or before the Purchase Date, the Issuer shall, to the extent lawful, (1) accept for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as described in clause (d)</w:t>
      </w:r>
    </w:p>
    <w:p>
      <w:pPr>
        <w:spacing w:after="0" w:line="46" w:lineRule="exact"/>
        <w:rPr>
          <w:rFonts w:ascii="Arial" w:cs="Arial" w:eastAsia="Arial" w:hAnsi="Arial"/>
          <w:sz w:val="16"/>
          <w:szCs w:val="16"/>
          <w:color w:val="auto"/>
        </w:rPr>
      </w:pPr>
    </w:p>
    <w:p>
      <w:pPr>
        <w:ind w:right="20" w:firstLine="8"/>
        <w:spacing w:after="0" w:line="255" w:lineRule="auto"/>
        <w:tabs>
          <w:tab w:leader="none" w:pos="405" w:val="left"/>
        </w:tabs>
        <w:numPr>
          <w:ilvl w:val="0"/>
          <w:numId w:val="404"/>
        </w:numPr>
        <w:rPr>
          <w:rFonts w:ascii="Arial" w:cs="Arial" w:eastAsia="Arial" w:hAnsi="Arial"/>
          <w:sz w:val="18"/>
          <w:szCs w:val="18"/>
          <w:color w:val="auto"/>
        </w:rPr>
      </w:pPr>
      <w:r>
        <w:rPr>
          <w:rFonts w:ascii="Arial" w:cs="Arial" w:eastAsia="Arial" w:hAnsi="Arial"/>
          <w:sz w:val="18"/>
          <w:szCs w:val="18"/>
          <w:color w:val="auto"/>
        </w:rPr>
        <w:t>of this Section 3.09, the Offer Amount of Notes or portions thereof validly tendered pursuant to the Asset Sale Offer, or if less than the Offer Amount has been tendered, all Notes tendered and (2) deliver or cause to be delivered to the Trustee the Notes properly accepted together with an Officer’s Certificate stating the aggregate principal amount of Notes or portions thereof so tendered.</w:t>
      </w:r>
    </w:p>
    <w:p>
      <w:pPr>
        <w:spacing w:after="0" w:line="82" w:lineRule="exact"/>
        <w:rPr>
          <w:rFonts w:ascii="Arial" w:cs="Arial" w:eastAsia="Arial" w:hAnsi="Arial"/>
          <w:sz w:val="18"/>
          <w:szCs w:val="18"/>
          <w:color w:val="auto"/>
        </w:rPr>
      </w:pPr>
    </w:p>
    <w:p>
      <w:pPr>
        <w:ind w:right="40" w:firstLine="921"/>
        <w:spacing w:after="0" w:line="291" w:lineRule="auto"/>
        <w:tabs>
          <w:tab w:leader="none" w:pos="1138" w:val="left"/>
        </w:tabs>
        <w:numPr>
          <w:ilvl w:val="1"/>
          <w:numId w:val="404"/>
        </w:numPr>
        <w:rPr>
          <w:rFonts w:ascii="Arial" w:cs="Arial" w:eastAsia="Arial" w:hAnsi="Arial"/>
          <w:sz w:val="16"/>
          <w:szCs w:val="16"/>
          <w:color w:val="auto"/>
        </w:rPr>
      </w:pPr>
      <w:r>
        <w:rPr>
          <w:rFonts w:ascii="Arial" w:cs="Arial" w:eastAsia="Arial" w:hAnsi="Arial"/>
          <w:sz w:val="16"/>
          <w:szCs w:val="16"/>
          <w:color w:val="auto"/>
        </w:rPr>
        <w:t>The Issuer, the Depositary or the Paying Agent, as the case may be, shall promptly mail or deliver to each tendering Holder an amount equal to the purchase price of the Notes properly tendered by such Holder and accepted by the Issuer for purchase, and the Issuer shall promptly issue a new Note, and the Trustee, upon receipt of an Authentication Order, shall authenticate and mail or deliver (or cause to be transferred by book-entry) such new Note to such Holder (it being understood that, notwithstanding anything in this Indenture to the contrary, no Opinion of Counsel or Officer’s Certificate of the Issuer is required for the Trustee to authenticate and mail or deliver such new Note) in a principal amount equal to any unpurchased portion of the Note surrendered representing the same indebtedness to the extent not repurchased. Any Note not so accepted shall be promptly mailed or delivered by the Issuer to the Holder thereof. The Issuer shall publicly announce the results of the Asset Sale Offer on or as soon as practicable after the Purchase Date.</w:t>
      </w:r>
    </w:p>
    <w:p>
      <w:pPr>
        <w:spacing w:after="0" w:line="59" w:lineRule="exact"/>
        <w:rPr>
          <w:rFonts w:ascii="Arial" w:cs="Arial" w:eastAsia="Arial" w:hAnsi="Arial"/>
          <w:sz w:val="16"/>
          <w:szCs w:val="16"/>
          <w:color w:val="auto"/>
        </w:rPr>
      </w:pPr>
    </w:p>
    <w:p>
      <w:pPr>
        <w:jc w:val="both"/>
        <w:ind w:right="240" w:firstLine="921"/>
        <w:spacing w:after="0" w:line="259" w:lineRule="auto"/>
        <w:tabs>
          <w:tab w:leader="none" w:pos="1168" w:val="left"/>
        </w:tabs>
        <w:numPr>
          <w:ilvl w:val="1"/>
          <w:numId w:val="404"/>
        </w:numPr>
        <w:rPr>
          <w:rFonts w:ascii="Arial" w:cs="Arial" w:eastAsia="Arial" w:hAnsi="Arial"/>
          <w:sz w:val="18"/>
          <w:szCs w:val="18"/>
          <w:color w:val="auto"/>
        </w:rPr>
      </w:pPr>
      <w:r>
        <w:rPr>
          <w:rFonts w:ascii="Arial" w:cs="Arial" w:eastAsia="Arial" w:hAnsi="Arial"/>
          <w:sz w:val="18"/>
          <w:szCs w:val="18"/>
          <w:color w:val="auto"/>
        </w:rPr>
        <w:t>Prior to 11:00 A.M. (New York City time) on the Purchase Date, the Issuer shall deposit with the Trustee or with the Paying Agent money sufficient to pay the purchase price of and accrued and unpaid interest on all Notes to be purchased on that purchase date. The Trustee or the Paying Agent shall promptly return to the Issuer any money deposited with the Trustee or the Paying Agent by the Issuer in excess of the amounts necessary to pay the purchase price of, and accrued and unpaid interest on, all Notes to be redeemed.</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Other than as specifically provided in this Section 3.09 or Section 4.10 hereof, any purchase pursuant to this Section 3.09 shall be made pursuant to the applicable provisions of Sections 3.01 through 3.06 hereof, and references therein to “redeem,” “redemption” and similar words shall be deemed to refer to “purchase,” “repurchase” and similar words, as applicable.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Payment of Notes</w:t>
      </w:r>
      <w:r>
        <w:rPr>
          <w:rFonts w:ascii="Arial" w:cs="Arial" w:eastAsia="Arial" w:hAnsi="Arial"/>
          <w:sz w:val="17"/>
          <w:szCs w:val="17"/>
          <w:color w:val="auto"/>
        </w:rPr>
        <w:t>. The Issuer shall pay or cause to be paid the principal of, premium, if any, and interest on the Notes on the dates and in the manner provided in the Notes. Principal, premium, if any, and interest shall be considered paid on the date due if the Paying Agent, if other than the Issuer, a Guarantor or an Affiliate of the Issuer or a Guarantor, holds as of 11:00 A.M. Eastern Time on the due date money deposited by the Issuer in immediately available funds and designated for and sufficient to pay all principal, premium, if any, and interest then due.</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6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 The Issuer shall maintain the offices or agencies (which may be an office of the Trustee or an affiliate of the Trustee, Registrar or co-registrar) required under Section 2.03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4" w:right="279" w:bottom="1440" w:gutter="0" w:footer="0" w:header="0"/>
        </w:sectPr>
      </w:pPr>
    </w:p>
    <w:bookmarkStart w:id="261" w:name="page262"/>
    <w:bookmarkEnd w:id="261"/>
    <w:p>
      <w:pPr>
        <w:ind w:right="12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designation or rescission shall in any manner relieve the Issuer of its obligation to maintain such offices or agencies as required by Section 2.03 for such purposes. The Issuer shall give prompt written notice to the Trustee of any such designation or rescission and of any change in the location of any such other office or agency.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Issuer hereby designates the Corporate Trust Office of the Trustee as one such office or agency of the Issuer in accordance with Section 2.03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Reports and Other Information</w:t>
      </w:r>
      <w:r>
        <w:rPr>
          <w:rFonts w:ascii="Arial" w:cs="Arial" w:eastAsia="Arial" w:hAnsi="Arial"/>
          <w:sz w:val="18"/>
          <w:szCs w:val="18"/>
          <w:color w:val="auto"/>
        </w:rPr>
        <w:t>.</w:t>
      </w:r>
    </w:p>
    <w:p>
      <w:pPr>
        <w:spacing w:after="0" w:line="117" w:lineRule="exact"/>
        <w:rPr>
          <w:sz w:val="20"/>
          <w:szCs w:val="20"/>
          <w:color w:val="auto"/>
        </w:rPr>
      </w:pPr>
    </w:p>
    <w:p>
      <w:pPr>
        <w:ind w:right="380" w:firstLine="921"/>
        <w:spacing w:after="0" w:line="279" w:lineRule="auto"/>
        <w:tabs>
          <w:tab w:leader="none" w:pos="1158" w:val="left"/>
        </w:tabs>
        <w:numPr>
          <w:ilvl w:val="0"/>
          <w:numId w:val="405"/>
        </w:numPr>
        <w:rPr>
          <w:rFonts w:ascii="Arial" w:cs="Arial" w:eastAsia="Arial" w:hAnsi="Arial"/>
          <w:sz w:val="17"/>
          <w:szCs w:val="17"/>
          <w:color w:val="auto"/>
        </w:rPr>
      </w:pPr>
      <w:r>
        <w:rPr>
          <w:rFonts w:ascii="Arial" w:cs="Arial" w:eastAsia="Arial" w:hAnsi="Arial"/>
          <w:sz w:val="17"/>
          <w:szCs w:val="17"/>
          <w:color w:val="auto"/>
        </w:rPr>
        <w:t>Notwithstanding that Holdings III may not be subject to the reporting requirements of Section 13 or 15(d) of the Exchange Act or that Holdings III does not otherwise report on an annual and quarterly basis on forms provided for such annual and quarterly reporting pursuant to rules and regulations promulgated by the SEC, Holdings III shall file with the SEC (and make available to the Trustee and Holders of the Notes (without exhibits), without cost to any Holder, within 15 days after it files them with the SEC) from and after the Issue Date,</w:t>
      </w:r>
    </w:p>
    <w:p>
      <w:pPr>
        <w:spacing w:after="0" w:line="63" w:lineRule="exact"/>
        <w:rPr>
          <w:rFonts w:ascii="Arial" w:cs="Arial" w:eastAsia="Arial" w:hAnsi="Arial"/>
          <w:sz w:val="17"/>
          <w:szCs w:val="17"/>
          <w:color w:val="auto"/>
        </w:rPr>
      </w:pPr>
    </w:p>
    <w:p>
      <w:pPr>
        <w:ind w:left="920" w:firstLine="421"/>
        <w:spacing w:after="0" w:line="258" w:lineRule="auto"/>
        <w:tabs>
          <w:tab w:leader="none" w:pos="1595"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within 90 days (or any other time period then in effect under the rules and regulations of the Exchange Act with respect to the filing of a Form 10-K by a non-accelerated filer) after the end of each fiscal year, annual reports on Form</w:t>
      </w:r>
    </w:p>
    <w:p>
      <w:pPr>
        <w:spacing w:after="0" w:line="1" w:lineRule="exact"/>
        <w:rPr>
          <w:rFonts w:ascii="Arial" w:cs="Arial" w:eastAsia="Arial" w:hAnsi="Arial"/>
          <w:sz w:val="18"/>
          <w:szCs w:val="18"/>
          <w:color w:val="auto"/>
        </w:rPr>
      </w:pPr>
    </w:p>
    <w:p>
      <w:pPr>
        <w:ind w:left="920" w:right="640"/>
        <w:spacing w:after="0" w:line="261" w:lineRule="auto"/>
        <w:rPr>
          <w:rFonts w:ascii="Arial" w:cs="Arial" w:eastAsia="Arial" w:hAnsi="Arial"/>
          <w:sz w:val="18"/>
          <w:szCs w:val="18"/>
          <w:color w:val="auto"/>
        </w:rPr>
      </w:pPr>
      <w:r>
        <w:rPr>
          <w:rFonts w:ascii="Arial" w:cs="Arial" w:eastAsia="Arial" w:hAnsi="Arial"/>
          <w:sz w:val="18"/>
          <w:szCs w:val="18"/>
          <w:color w:val="auto"/>
        </w:rPr>
        <w:t>10-K, or any successor or comparable form, containing the information required to be contained therein, or required in such successor or comparable form;</w:t>
      </w:r>
    </w:p>
    <w:p>
      <w:pPr>
        <w:spacing w:after="0" w:line="75" w:lineRule="exact"/>
        <w:rPr>
          <w:rFonts w:ascii="Arial" w:cs="Arial" w:eastAsia="Arial" w:hAnsi="Arial"/>
          <w:sz w:val="18"/>
          <w:szCs w:val="18"/>
          <w:color w:val="auto"/>
        </w:rPr>
      </w:pPr>
    </w:p>
    <w:p>
      <w:pPr>
        <w:ind w:left="920" w:firstLine="421"/>
        <w:spacing w:after="0" w:line="256" w:lineRule="auto"/>
        <w:tabs>
          <w:tab w:leader="none" w:pos="1595"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within 45 days (or any other time period then in effect under the rules and regulations of the Exchange Act with respect to the filing of a Form 10-Q by a non-accelerated filer) after the end of each of the first three fiscal quarters of each fiscal year, reports on Form 10-Q containing all quarterly information that would be required to be contained in Form</w:t>
      </w:r>
    </w:p>
    <w:p>
      <w:pPr>
        <w:ind w:left="920"/>
        <w:spacing w:after="0"/>
        <w:rPr>
          <w:rFonts w:ascii="Arial" w:cs="Arial" w:eastAsia="Arial" w:hAnsi="Arial"/>
          <w:sz w:val="18"/>
          <w:szCs w:val="18"/>
          <w:color w:val="auto"/>
        </w:rPr>
      </w:pPr>
      <w:r>
        <w:rPr>
          <w:rFonts w:ascii="Arial" w:cs="Arial" w:eastAsia="Arial" w:hAnsi="Arial"/>
          <w:sz w:val="18"/>
          <w:szCs w:val="18"/>
          <w:color w:val="auto"/>
        </w:rPr>
        <w:t>10-Q, or any successor or comparable form;</w:t>
      </w:r>
    </w:p>
    <w:p>
      <w:pPr>
        <w:spacing w:after="0" w:line="102" w:lineRule="exact"/>
        <w:rPr>
          <w:rFonts w:ascii="Arial" w:cs="Arial" w:eastAsia="Arial" w:hAnsi="Arial"/>
          <w:sz w:val="18"/>
          <w:szCs w:val="18"/>
          <w:color w:val="auto"/>
        </w:rPr>
      </w:pPr>
    </w:p>
    <w:p>
      <w:pPr>
        <w:ind w:left="920" w:right="380" w:firstLine="421"/>
        <w:spacing w:after="0" w:line="277" w:lineRule="auto"/>
        <w:tabs>
          <w:tab w:leader="none" w:pos="1595" w:val="left"/>
        </w:tabs>
        <w:numPr>
          <w:ilvl w:val="1"/>
          <w:numId w:val="405"/>
        </w:numPr>
        <w:rPr>
          <w:rFonts w:ascii="Arial" w:cs="Arial" w:eastAsia="Arial" w:hAnsi="Arial"/>
          <w:sz w:val="18"/>
          <w:szCs w:val="18"/>
          <w:color w:val="auto"/>
        </w:rPr>
      </w:pPr>
      <w:r>
        <w:rPr>
          <w:rFonts w:ascii="Arial" w:cs="Arial" w:eastAsia="Arial" w:hAnsi="Arial"/>
          <w:sz w:val="18"/>
          <w:szCs w:val="18"/>
          <w:color w:val="auto"/>
        </w:rPr>
        <w:t>promptly from time to time after the occurrence of an event required to be therein reported, such other reports on Form 8-K, or any successor or comparable form; and</w:t>
      </w:r>
    </w:p>
    <w:p>
      <w:pPr>
        <w:spacing w:after="0" w:line="62" w:lineRule="exact"/>
        <w:rPr>
          <w:rFonts w:ascii="Arial" w:cs="Arial" w:eastAsia="Arial" w:hAnsi="Arial"/>
          <w:sz w:val="18"/>
          <w:szCs w:val="18"/>
          <w:color w:val="auto"/>
        </w:rPr>
      </w:pPr>
    </w:p>
    <w:p>
      <w:pPr>
        <w:ind w:left="920" w:right="420" w:firstLine="421"/>
        <w:spacing w:after="0" w:line="277" w:lineRule="auto"/>
        <w:tabs>
          <w:tab w:leader="none" w:pos="1595" w:val="left"/>
        </w:tabs>
        <w:numPr>
          <w:ilvl w:val="1"/>
          <w:numId w:val="405"/>
        </w:numPr>
        <w:rPr>
          <w:rFonts w:ascii="Arial" w:cs="Arial" w:eastAsia="Arial" w:hAnsi="Arial"/>
          <w:sz w:val="18"/>
          <w:szCs w:val="18"/>
          <w:color w:val="auto"/>
        </w:rPr>
      </w:pPr>
      <w:r>
        <w:rPr>
          <w:rFonts w:ascii="Arial" w:cs="Arial" w:eastAsia="Arial" w:hAnsi="Arial"/>
          <w:sz w:val="18"/>
          <w:szCs w:val="18"/>
          <w:color w:val="auto"/>
        </w:rPr>
        <w:t>any other information, documents and other reports which Holdings III would be required to file with the SEC if it were subject to Section 13 or 15(d) of the Exchange Act;</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each case, in a manner that complies in all material respects with the requirements specified in such form (assuming Holdings III were a U.S. person with only unsecured debt registered under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that Holdings III shall not be so obligated to file such reports with the SEC if the SEC does not permit such filing, in which event Holdings III will make available such information to prospective purchasers of Notes, in addition to providing such information to the Trustee and the Holders of the Notes, in each case within 15 days after the time Holdings III would be required to file such information with the SEC, if it were subject to Sections 13 or 15(d) of the Exchange Act. Delivery of such reports, information and documents to the Trustee is for informational purposes only and the Trustee’s receipt of such shall not constitute constructive notice of any information contained therein, including compliance with any of the covenants hereunder (as to which the Trustee is entitled to rely exclusively on Officer’s Certificates).</w:t>
      </w:r>
    </w:p>
    <w:p>
      <w:pPr>
        <w:spacing w:after="0" w:line="16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 addition, to the extent not satisfied by the foregoing, for so long as any Notes are outstanding, Holdings III shall furnish to Holders and to securities analysts and prospective investors, upon their request, the information required to be delivered pursuant to Rule 144A(d)(4) under the Securities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262" w:name="page263"/>
    <w:bookmarkEnd w:id="262"/>
    <w:p>
      <w:pPr>
        <w:ind w:left="-20" w:right="80" w:firstLine="921"/>
        <w:spacing w:after="0" w:line="253" w:lineRule="auto"/>
        <w:tabs>
          <w:tab w:leader="none" w:pos="1148" w:val="left"/>
        </w:tabs>
        <w:numPr>
          <w:ilvl w:val="0"/>
          <w:numId w:val="4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so long as Parent, Holdings II or any other direct or indirect parent company of Holdings III is a Guarantor, Holdings III shall be permitted to satisfy its obligations under this Section 4.03 with respect to financial information relating to Holdings III by furnishing financial information relating to Parent, Holdings II or such other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same is accompanied by consolidating information that explains in reasonable detail the differences between the information relating to Parent, Holdings II or such other parent, on the one hand, and the information relating to Holdings III and its Restricted Subsidiaries on a standalone basis, on the other hand or, at Holdings III’s option, substantially in the form required by Rule 3-10(d) of Regulation S-X or any successor thereto. Notwithstanding anything in Section 4.03(a) to the contrary, Holdings III shall be deemed to have satisfied all its obligations under Section 4.03(a) without any further action so long as (i) the Company is a Guarantor, (ii) the shares of NXP Holdings are listed on a national securities exchange and (iii) NXP Holdings complies with all of its reporting obligations applicable to it under the Exchange Act within the time periods applicable pursuant to the Exchange Act.</w:t>
      </w:r>
    </w:p>
    <w:p>
      <w:pPr>
        <w:spacing w:after="0" w:line="89" w:lineRule="exact"/>
        <w:rPr>
          <w:rFonts w:ascii="Arial" w:cs="Arial" w:eastAsia="Arial" w:hAnsi="Arial"/>
          <w:sz w:val="18"/>
          <w:szCs w:val="18"/>
          <w:color w:val="auto"/>
        </w:rPr>
      </w:pPr>
    </w:p>
    <w:p>
      <w:pPr>
        <w:ind w:left="-20" w:right="120" w:firstLine="921"/>
        <w:spacing w:after="0" w:line="277" w:lineRule="auto"/>
        <w:tabs>
          <w:tab w:leader="none" w:pos="1138" w:val="left"/>
        </w:tabs>
        <w:numPr>
          <w:ilvl w:val="0"/>
          <w:numId w:val="406"/>
        </w:numPr>
        <w:rPr>
          <w:rFonts w:ascii="Arial" w:cs="Arial" w:eastAsia="Arial" w:hAnsi="Arial"/>
          <w:sz w:val="18"/>
          <w:szCs w:val="18"/>
          <w:color w:val="auto"/>
        </w:rPr>
      </w:pPr>
      <w:r>
        <w:rPr>
          <w:rFonts w:ascii="Arial" w:cs="Arial" w:eastAsia="Arial" w:hAnsi="Arial"/>
          <w:sz w:val="18"/>
          <w:szCs w:val="18"/>
          <w:color w:val="auto"/>
        </w:rPr>
        <w:t>Holdings III will be deemed to have furnished reports required to be delivered under this Section 4.03 to the Trustee and the Holders if it has filed such reports with the SEC using the Edgar filing system and such reports are publicly available without charge.</w:t>
      </w:r>
    </w:p>
    <w:p>
      <w:pPr>
        <w:spacing w:after="0" w:line="62" w:lineRule="exact"/>
        <w:rPr>
          <w:rFonts w:ascii="Arial" w:cs="Arial" w:eastAsia="Arial" w:hAnsi="Arial"/>
          <w:sz w:val="18"/>
          <w:szCs w:val="18"/>
          <w:color w:val="auto"/>
        </w:rPr>
      </w:pPr>
    </w:p>
    <w:p>
      <w:pPr>
        <w:ind w:left="-20" w:right="220" w:firstLine="921"/>
        <w:spacing w:after="0" w:line="308" w:lineRule="auto"/>
        <w:tabs>
          <w:tab w:leader="none" w:pos="1148" w:val="left"/>
        </w:tabs>
        <w:numPr>
          <w:ilvl w:val="0"/>
          <w:numId w:val="406"/>
        </w:numPr>
        <w:rPr>
          <w:rFonts w:ascii="Arial" w:cs="Arial" w:eastAsia="Arial" w:hAnsi="Arial"/>
          <w:sz w:val="17"/>
          <w:szCs w:val="17"/>
          <w:color w:val="auto"/>
        </w:rPr>
      </w:pPr>
      <w:r>
        <w:rPr>
          <w:rFonts w:ascii="Arial" w:cs="Arial" w:eastAsia="Arial" w:hAnsi="Arial"/>
          <w:sz w:val="17"/>
          <w:szCs w:val="17"/>
          <w:color w:val="auto"/>
        </w:rPr>
        <w:t>Notwithstanding anything herein to the contrary, Holdings III will not be deemed to have failed to comply with any of its obligations under this Section 4.03 for purposes of clause (3) under Section 6.01 until 120 days after the date any report is due under this Section 4.03.</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117" w:lineRule="exact"/>
        <w:rPr>
          <w:sz w:val="20"/>
          <w:szCs w:val="20"/>
          <w:color w:val="auto"/>
        </w:rPr>
      </w:pPr>
    </w:p>
    <w:p>
      <w:pPr>
        <w:ind w:left="-20" w:right="20" w:firstLine="921"/>
        <w:spacing w:after="0" w:line="271" w:lineRule="auto"/>
        <w:tabs>
          <w:tab w:leader="none" w:pos="1138"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The Company shall deliver to the Trustee, within 120 days after the end of each fiscal year ending after the Issue Date, a certificate from the principal executive officer, principal financial officer or principal accounting officer stating that a review of the activities of the Company and its Restricted Subsidiaries during the preceding fiscal year has been made under the supervision of the signing Officer with a view to determining whether the Company and its Restricted Subsidiaries have kept, observed, performed and fulfilled their obligations under this Indenture, and further stating, as to such Officer signing such certificate, that to the best of his or her knowledge the Company and its Restricted Subsidiaries have kept, observed, performed and fulfilled each and every condition and covenant contained in this Indenture and is not in default in the performance or observance of any of the terms, provisions, covenants and conditions of this Indenture (or, if a Default shall have occurred, describing all such Defaults of which he or she may have knowledge and what action the Company is taking or proposes to take with respect thereto).</w:t>
      </w:r>
    </w:p>
    <w:p>
      <w:pPr>
        <w:spacing w:after="0" w:line="70" w:lineRule="exact"/>
        <w:rPr>
          <w:rFonts w:ascii="Arial" w:cs="Arial" w:eastAsia="Arial" w:hAnsi="Arial"/>
          <w:sz w:val="17"/>
          <w:szCs w:val="17"/>
          <w:color w:val="auto"/>
        </w:rPr>
      </w:pPr>
    </w:p>
    <w:p>
      <w:pPr>
        <w:ind w:left="-20" w:firstLine="921"/>
        <w:spacing w:after="0" w:line="302" w:lineRule="auto"/>
        <w:tabs>
          <w:tab w:leader="none" w:pos="1148" w:val="left"/>
        </w:tabs>
        <w:numPr>
          <w:ilvl w:val="0"/>
          <w:numId w:val="407"/>
        </w:numPr>
        <w:rPr>
          <w:rFonts w:ascii="Arial" w:cs="Arial" w:eastAsia="Arial" w:hAnsi="Arial"/>
          <w:sz w:val="16"/>
          <w:szCs w:val="16"/>
          <w:color w:val="auto"/>
        </w:rPr>
      </w:pPr>
      <w:r>
        <w:rPr>
          <w:rFonts w:ascii="Arial" w:cs="Arial" w:eastAsia="Arial" w:hAnsi="Arial"/>
          <w:sz w:val="16"/>
          <w:szCs w:val="16"/>
          <w:color w:val="auto"/>
        </w:rPr>
        <w:t>When any Default has occurred and is continuing under this Indenture, or if the Trustee or the holder of any other evidence of Indebtedness of the Company or any Subsidiary gives any notice or takes any other action with respect to a claimed Default, the Company shall within 30 days after the occurrence of such Default or receiving such notice deliver to the Trustee by registered or certified mail or by facsimile transmission an Officer’s Certificate specifying any event of which it is aware would constitute a Default and what action the Company proposes to take with respect thereto.</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jc w:val="both"/>
        <w:ind w:left="-20" w:right="180" w:firstLine="921"/>
        <w:spacing w:after="0" w:line="264" w:lineRule="auto"/>
        <w:tabs>
          <w:tab w:leader="none" w:pos="113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Company shall pay, and shall cause each of its Restricted Subsidiaries to pay, prior to delinquency, all material taxes, assessments, and governmental levies except such as are contested in good faith and by appropriate negotiations or proceedings or where the failure to effect such payment is not adverse in any material respect to the Holders of the Notes.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60" w:top="274" w:right="239" w:bottom="1440" w:gutter="0" w:footer="0" w:header="0"/>
        </w:sectPr>
      </w:pPr>
    </w:p>
    <w:bookmarkStart w:id="263" w:name="page264"/>
    <w:bookmarkEnd w:id="263"/>
    <w:p>
      <w:pPr>
        <w:ind w:right="140" w:firstLine="921"/>
        <w:spacing w:after="0" w:line="269" w:lineRule="auto"/>
        <w:tabs>
          <w:tab w:leader="none" w:pos="1168" w:val="left"/>
        </w:tabs>
        <w:numPr>
          <w:ilvl w:val="1"/>
          <w:numId w:val="4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payments that any Guarantor that is not organized or existing under the laws of the United States, any state thereof, the District of Columbia, or any territory thereof (each a “</w:t>
      </w:r>
      <w:r>
        <w:rPr>
          <w:rFonts w:ascii="Arial" w:cs="Arial" w:eastAsia="Arial" w:hAnsi="Arial"/>
          <w:sz w:val="17"/>
          <w:szCs w:val="17"/>
          <w:u w:val="single" w:color="auto"/>
          <w:color w:val="auto"/>
        </w:rPr>
        <w:t>Foreign Payor</w:t>
      </w:r>
      <w:r>
        <w:rPr>
          <w:rFonts w:ascii="Arial" w:cs="Arial" w:eastAsia="Arial" w:hAnsi="Arial"/>
          <w:sz w:val="17"/>
          <w:szCs w:val="17"/>
          <w:color w:val="auto"/>
        </w:rPr>
        <w:t>”) makes under or with respect to the Notes or any Guarantee, will be made free and clear of, and without withholding or deduction for or on account of, any present or future tax, duty, levy, impost, assessment or other governmental charges (including penalties, interest and other similar liabilities related thereto) of whatever nature (collectively, “</w:t>
      </w:r>
      <w:r>
        <w:rPr>
          <w:rFonts w:ascii="Arial" w:cs="Arial" w:eastAsia="Arial" w:hAnsi="Arial"/>
          <w:sz w:val="17"/>
          <w:szCs w:val="17"/>
          <w:u w:val="single" w:color="auto"/>
          <w:color w:val="auto"/>
        </w:rPr>
        <w:t>Taxes</w:t>
      </w:r>
      <w:r>
        <w:rPr>
          <w:rFonts w:ascii="Arial" w:cs="Arial" w:eastAsia="Arial" w:hAnsi="Arial"/>
          <w:sz w:val="17"/>
          <w:szCs w:val="17"/>
          <w:color w:val="auto"/>
        </w:rPr>
        <w:t>”) imposed or levied by or on behalf of any jurisdiction in which any Foreign Payor is incorporated, organized or otherwise resident for tax purposes or from or through which any of the foregoing makes any payment on the Notes or by any taxing authority therein or political subdivision thereof (each, as applicable, a “</w:t>
      </w:r>
      <w:r>
        <w:rPr>
          <w:rFonts w:ascii="Arial" w:cs="Arial" w:eastAsia="Arial" w:hAnsi="Arial"/>
          <w:sz w:val="17"/>
          <w:szCs w:val="17"/>
          <w:u w:val="single" w:color="auto"/>
          <w:color w:val="auto"/>
        </w:rPr>
        <w:t>Relevant Taxing Jurisdiction</w:t>
      </w:r>
      <w:r>
        <w:rPr>
          <w:rFonts w:ascii="Arial" w:cs="Arial" w:eastAsia="Arial" w:hAnsi="Arial"/>
          <w:sz w:val="17"/>
          <w:szCs w:val="17"/>
          <w:color w:val="auto"/>
        </w:rPr>
        <w:t>”), unless the applicable Foreign Payor is required to withhold or deduct Taxes by law or by the interpretation or administration of law. If a Foreign Payor is required to withhold or deduct any amount for, or on account of, Taxes of a Relevant Taxing Jurisdiction from any payment made under or with respect to the Notes or any Guarantee, such Foreign Payor will pay such additional amounts (“</w:t>
      </w:r>
      <w:r>
        <w:rPr>
          <w:rFonts w:ascii="Arial" w:cs="Arial" w:eastAsia="Arial" w:hAnsi="Arial"/>
          <w:sz w:val="17"/>
          <w:szCs w:val="17"/>
          <w:u w:val="single" w:color="auto"/>
          <w:color w:val="auto"/>
        </w:rPr>
        <w:t>Additional Amounts</w:t>
      </w:r>
      <w:r>
        <w:rPr>
          <w:rFonts w:ascii="Arial" w:cs="Arial" w:eastAsia="Arial" w:hAnsi="Arial"/>
          <w:sz w:val="17"/>
          <w:szCs w:val="17"/>
          <w:color w:val="auto"/>
        </w:rPr>
        <w:t>”) as may be necessary to ensure that the net amount received by each Holder of the Notes after such withholding or deduction will be not less than the amount such Holder would have received if such Taxes had not been required to be withheld or deducted.</w:t>
      </w:r>
    </w:p>
    <w:p>
      <w:pPr>
        <w:spacing w:after="0" w:line="74" w:lineRule="exact"/>
        <w:rPr>
          <w:rFonts w:ascii="Arial" w:cs="Arial" w:eastAsia="Arial" w:hAnsi="Arial"/>
          <w:sz w:val="17"/>
          <w:szCs w:val="17"/>
          <w:color w:val="auto"/>
        </w:rPr>
      </w:pPr>
    </w:p>
    <w:p>
      <w:pPr>
        <w:ind w:left="1160" w:hanging="239"/>
        <w:spacing w:after="0"/>
        <w:tabs>
          <w:tab w:leader="none" w:pos="1160" w:val="left"/>
        </w:tabs>
        <w:numPr>
          <w:ilvl w:val="1"/>
          <w:numId w:val="409"/>
        </w:numPr>
        <w:rPr>
          <w:rFonts w:ascii="Arial" w:cs="Arial" w:eastAsia="Arial" w:hAnsi="Arial"/>
          <w:sz w:val="16"/>
          <w:szCs w:val="16"/>
          <w:color w:val="auto"/>
        </w:rPr>
      </w:pPr>
      <w:r>
        <w:rPr>
          <w:rFonts w:ascii="Arial" w:cs="Arial" w:eastAsia="Arial" w:hAnsi="Arial"/>
          <w:sz w:val="16"/>
          <w:szCs w:val="16"/>
          <w:color w:val="auto"/>
        </w:rPr>
        <w:t>Notwithstanding the foregoing, no Foreign Payor will be required to pay Additional Amounts to a Holder of Notes in respect of or on account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w:t>
      </w:r>
    </w:p>
    <w:p>
      <w:pPr>
        <w:spacing w:after="0" w:line="102" w:lineRule="exact"/>
        <w:rPr>
          <w:rFonts w:ascii="Arial" w:cs="Arial" w:eastAsia="Arial" w:hAnsi="Arial"/>
          <w:sz w:val="16"/>
          <w:szCs w:val="16"/>
          <w:color w:val="auto"/>
        </w:rPr>
      </w:pPr>
    </w:p>
    <w:p>
      <w:pPr>
        <w:ind w:left="460" w:right="60" w:firstLine="443"/>
        <w:spacing w:after="0" w:line="276" w:lineRule="auto"/>
        <w:tabs>
          <w:tab w:leader="none" w:pos="1153" w:val="left"/>
        </w:tabs>
        <w:numPr>
          <w:ilvl w:val="0"/>
          <w:numId w:val="410"/>
        </w:numPr>
        <w:rPr>
          <w:rFonts w:ascii="Arial" w:cs="Arial" w:eastAsia="Arial" w:hAnsi="Arial"/>
          <w:sz w:val="17"/>
          <w:szCs w:val="17"/>
          <w:color w:val="auto"/>
        </w:rPr>
      </w:pPr>
      <w:r>
        <w:rPr>
          <w:rFonts w:ascii="Arial" w:cs="Arial" w:eastAsia="Arial" w:hAnsi="Arial"/>
          <w:sz w:val="17"/>
          <w:szCs w:val="17"/>
          <w:color w:val="auto"/>
        </w:rPr>
        <w:t>any Taxes that are imposed or levied by a Relevant Taxing Jurisdiction by reason of such Holder’s present or former connection with such Relevant Taxing Jurisdiction, including such Holder being or having been a citizen, national, or resident, being or having been engaged in a trade or business, being, or having been, physically present in or having or having had a permanent establishment in a Relevant Taxing Jurisdiction (but not including, in each case, any connection arising from the mere receipt or holding of Notes or the receipt of payments thereunder or under a Guarantee or the exercise or enforcement of rights under any Notes or this Indenture or a Guarantee);</w:t>
      </w:r>
    </w:p>
    <w:p>
      <w:pPr>
        <w:spacing w:after="0" w:line="64" w:lineRule="exact"/>
        <w:rPr>
          <w:rFonts w:ascii="Arial" w:cs="Arial" w:eastAsia="Arial" w:hAnsi="Arial"/>
          <w:sz w:val="17"/>
          <w:szCs w:val="17"/>
          <w:color w:val="auto"/>
        </w:rPr>
      </w:pPr>
    </w:p>
    <w:p>
      <w:pPr>
        <w:ind w:left="460" w:right="20" w:firstLine="443"/>
        <w:spacing w:after="0" w:line="255" w:lineRule="auto"/>
        <w:tabs>
          <w:tab w:leader="none" w:pos="1153"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Taxes that are imposed or levied by reason of the failure of such Holder, following the written request of any Foreign Payor (as the case may be) addressed to such Holder (and made at a time that would enable such Holder acting reasonably to comply with that request) made in accordance with the notice procedures set forth in this Indenture, to comply with any certification, identification, information or other reporting requirements, whether required by statute, treaty, regulation or administrative practice of a Relevant Taxing Jurisdiction, as a precondition to exemption from, or reduction in the rate of withholding or deduction of, Taxes imposed by the Relevant Taxing Jurisdiction (including a certification that such Holder is not resident in the Relevant Taxing Jurisdiction);</w:t>
      </w:r>
    </w:p>
    <w:p>
      <w:pPr>
        <w:spacing w:after="0" w:line="85" w:lineRule="exact"/>
        <w:rPr>
          <w:rFonts w:ascii="Arial" w:cs="Arial" w:eastAsia="Arial" w:hAnsi="Arial"/>
          <w:sz w:val="18"/>
          <w:szCs w:val="18"/>
          <w:color w:val="auto"/>
        </w:rPr>
      </w:pPr>
    </w:p>
    <w:p>
      <w:pPr>
        <w:ind w:left="1160" w:hanging="257"/>
        <w:spacing w:after="0"/>
        <w:tabs>
          <w:tab w:leader="none" w:pos="11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Tax that is payable otherwise than by withholding or deduction from payments made under or with respect to the Notes;</w:t>
      </w:r>
    </w:p>
    <w:p>
      <w:pPr>
        <w:spacing w:after="0" w:line="117"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Tax that is imposed or levied by reason of the presentation (where presentation is required in order to receive payment) of the Notes for payment on a date more than 30 days after the date on which such payment became due and payable or the date on which payment thereof is duly provided for, whichever is later, except to the extent that the beneficial owner or holder thereof would have been entitled to Additional Amounts had the Notes been presented for payment on any date during such 30 day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264" w:name="page265"/>
    <w:bookmarkEnd w:id="264"/>
    <w:p>
      <w:pPr>
        <w:ind w:left="460" w:right="140" w:firstLine="443"/>
        <w:spacing w:after="0" w:line="277" w:lineRule="auto"/>
        <w:tabs>
          <w:tab w:leader="none" w:pos="1153" w:val="left"/>
        </w:tabs>
        <w:numPr>
          <w:ilvl w:val="0"/>
          <w:numId w:val="4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Tax except to the extent it exceeds any Tax that would have been required to be withheld from payments to the Holder if such payments were made by the Issuer; or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any combination of items (1) through (6) above.</w:t>
      </w:r>
    </w:p>
    <w:p>
      <w:pPr>
        <w:spacing w:after="0" w:line="117" w:lineRule="exact"/>
        <w:rPr>
          <w:sz w:val="20"/>
          <w:szCs w:val="20"/>
          <w:color w:val="auto"/>
        </w:rPr>
      </w:pPr>
    </w:p>
    <w:p>
      <w:pPr>
        <w:ind w:firstLine="921"/>
        <w:spacing w:after="0" w:line="257" w:lineRule="auto"/>
        <w:tabs>
          <w:tab w:leader="none" w:pos="116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Additional Amounts will not be paid with respect to the Notes to a Holder who is a fiduciary, a partnership, a limited liability company or other than the sole beneficial owner of the payment under or with respect to the Notes, to the extent that payment would be required by the laws of a Relevant Taxing Jurisdiction to be included in the income, for tax purposes, of a beneficiary or settlor with respect to the fiduciary, a member of that partnership, an interest holder in that limited liability company or a beneficial owner who would not have been entitled to the Additional Amounts had it been the Holder of the Notes.</w:t>
      </w:r>
    </w:p>
    <w:p>
      <w:pPr>
        <w:spacing w:after="0" w:line="80" w:lineRule="exact"/>
        <w:rPr>
          <w:rFonts w:ascii="Arial" w:cs="Arial" w:eastAsia="Arial" w:hAnsi="Arial"/>
          <w:sz w:val="18"/>
          <w:szCs w:val="18"/>
          <w:color w:val="auto"/>
        </w:rPr>
      </w:pPr>
    </w:p>
    <w:p>
      <w:pPr>
        <w:ind w:right="500" w:firstLine="921"/>
        <w:spacing w:after="0" w:line="277" w:lineRule="auto"/>
        <w:tabs>
          <w:tab w:leader="none" w:pos="115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relevant Foreign Payor shall (i) make such withholding or deduction as is required by applicable law and (ii) remit the full amount withheld or deducted to the relevant taxing authority in accordance with applicable law.</w:t>
      </w:r>
    </w:p>
    <w:p>
      <w:pPr>
        <w:spacing w:after="0" w:line="17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At least 30 calendar days prior to each date on which any payment under or with respect to the Notes is due and payable, if the relevant Foreign Payor will be obligated to pay Additional Amounts with respect to such payment (unless such obligation to pay Additional Amounts arises after the 30th day prior to the date on which payment under or with respect to the Notes is due and payable, in which case it will be promptly thereafter), the relevant Foreign Payor will deliver to the Trustee an Officer’s Certificate of such Foreign Payor stating that such Additional Amounts will be payable and the amounts so payable and will set forth such other information necessary to enable the Trustee to pay such Additional Amounts to the applicable Holders on the payment date.</w:t>
      </w:r>
    </w:p>
    <w:p>
      <w:pPr>
        <w:spacing w:after="0" w:line="193"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relevant Foreign Payor shall promptly publish a notice in accordance with the notice provisions set forth in this Indenture stating that such Additional Amounts will be payable and describing the obligation to pay such amounts.</w:t>
      </w:r>
    </w:p>
    <w:p>
      <w:pPr>
        <w:spacing w:after="0" w:line="62" w:lineRule="exact"/>
        <w:rPr>
          <w:sz w:val="20"/>
          <w:szCs w:val="20"/>
          <w:color w:val="auto"/>
        </w:rPr>
      </w:pPr>
    </w:p>
    <w:p>
      <w:pPr>
        <w:jc w:val="both"/>
        <w:ind w:right="20" w:firstLine="921"/>
        <w:spacing w:after="0" w:line="302" w:lineRule="auto"/>
        <w:tabs>
          <w:tab w:leader="none" w:pos="1138" w:val="left"/>
        </w:tabs>
        <w:numPr>
          <w:ilvl w:val="0"/>
          <w:numId w:val="413"/>
        </w:numPr>
        <w:rPr>
          <w:rFonts w:ascii="Arial" w:cs="Arial" w:eastAsia="Arial" w:hAnsi="Arial"/>
          <w:sz w:val="16"/>
          <w:szCs w:val="16"/>
          <w:color w:val="auto"/>
        </w:rPr>
      </w:pPr>
      <w:r>
        <w:rPr>
          <w:rFonts w:ascii="Arial" w:cs="Arial" w:eastAsia="Arial" w:hAnsi="Arial"/>
          <w:sz w:val="16"/>
          <w:szCs w:val="16"/>
          <w:color w:val="auto"/>
        </w:rPr>
        <w:t>Upon written request, the relevant Foreign Payor shall furnish to the Trustee or to a Holder of the Notes copies of tax receipts evidencing the payment of any Taxes by such Foreign Payor in such form as provided in the normal course by the taxing authority imposing such Taxes and as is reasonably available to such Foreign Payor. If, notwithstanding the efforts of such Foreign Payor to obtain such receipts, the same are not obtainable, such Foreign Payor shall provide the Trustee or the applicable Holder with other evidence reasonably satisfactory to the Trustee or such Holder.</w:t>
      </w:r>
    </w:p>
    <w:p>
      <w:pPr>
        <w:spacing w:after="0" w:line="46" w:lineRule="exact"/>
        <w:rPr>
          <w:rFonts w:ascii="Arial" w:cs="Arial" w:eastAsia="Arial" w:hAnsi="Arial"/>
          <w:sz w:val="16"/>
          <w:szCs w:val="16"/>
          <w:color w:val="auto"/>
        </w:rPr>
      </w:pPr>
    </w:p>
    <w:p>
      <w:pPr>
        <w:ind w:right="40" w:firstLine="921"/>
        <w:spacing w:after="0" w:line="279" w:lineRule="auto"/>
        <w:tabs>
          <w:tab w:leader="none" w:pos="1168"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Issuer and any Guarantor, as the case may be, will pay any present or future stamp, issue, registration, court, documentation, excise or property taxes or other similar taxes, charges and duties, including interest and penalties with respect thereto, imposed by or in any Relevant Taxing Jurisdiction in respect of the execution, issue, enforcement or delivery of the Notes or any other document or instrument referred to thereunder (other than on or in connection with a transfer of the Notes other than the initial resale by the Initial Purchasers).</w:t>
      </w:r>
    </w:p>
    <w:p>
      <w:pPr>
        <w:spacing w:after="0" w:line="63" w:lineRule="exact"/>
        <w:rPr>
          <w:rFonts w:ascii="Arial" w:cs="Arial" w:eastAsia="Arial" w:hAnsi="Arial"/>
          <w:sz w:val="17"/>
          <w:szCs w:val="17"/>
          <w:color w:val="auto"/>
        </w:rPr>
      </w:pPr>
    </w:p>
    <w:p>
      <w:pPr>
        <w:jc w:val="both"/>
        <w:ind w:right="520" w:firstLine="921"/>
        <w:spacing w:after="0" w:line="342" w:lineRule="auto"/>
        <w:tabs>
          <w:tab w:leader="none" w:pos="1168" w:val="left"/>
        </w:tabs>
        <w:numPr>
          <w:ilvl w:val="0"/>
          <w:numId w:val="413"/>
        </w:numPr>
        <w:rPr>
          <w:rFonts w:ascii="Arial" w:cs="Arial" w:eastAsia="Arial" w:hAnsi="Arial"/>
          <w:sz w:val="16"/>
          <w:szCs w:val="16"/>
          <w:color w:val="auto"/>
        </w:rPr>
      </w:pPr>
      <w:r>
        <w:rPr>
          <w:rFonts w:ascii="Arial" w:cs="Arial" w:eastAsia="Arial" w:hAnsi="Arial"/>
          <w:sz w:val="16"/>
          <w:szCs w:val="16"/>
          <w:color w:val="auto"/>
        </w:rPr>
        <w:t>Whenever this Indenture or the Notes refers to, in any context, the payment of principal, premium, if any, interest or any other amount payable under or with respect to any Note or with respect to any Guarantee, such reference includes the payment of Additional Amounts, if applicable.</w:t>
      </w:r>
    </w:p>
    <w:p>
      <w:pPr>
        <w:spacing w:after="0" w:line="124"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 The Issuer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74" w:right="279" w:bottom="1440" w:gutter="0" w:footer="0" w:header="0"/>
        </w:sectPr>
      </w:pPr>
    </w:p>
    <w:bookmarkStart w:id="265" w:name="page266"/>
    <w:bookmarkEnd w:id="265"/>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or the performance of this Indenture; and the Issuer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Company shall not, and shall not permit any of its Restricted Subsidiaries to, directly or indirectly:</w:t>
      </w:r>
    </w:p>
    <w:p>
      <w:pPr>
        <w:spacing w:after="0" w:line="117" w:lineRule="exact"/>
        <w:rPr>
          <w:rFonts w:ascii="Arial" w:cs="Arial" w:eastAsia="Arial" w:hAnsi="Arial"/>
          <w:sz w:val="18"/>
          <w:szCs w:val="18"/>
          <w:color w:val="auto"/>
        </w:rPr>
      </w:pPr>
    </w:p>
    <w:p>
      <w:pPr>
        <w:ind w:left="460" w:right="220" w:firstLine="443"/>
        <w:spacing w:after="0" w:line="308" w:lineRule="auto"/>
        <w:tabs>
          <w:tab w:leader="none" w:pos="1123" w:val="left"/>
        </w:tabs>
        <w:numPr>
          <w:ilvl w:val="0"/>
          <w:numId w:val="415"/>
        </w:numPr>
        <w:rPr>
          <w:rFonts w:ascii="Arial" w:cs="Arial" w:eastAsia="Arial" w:hAnsi="Arial"/>
          <w:sz w:val="17"/>
          <w:szCs w:val="17"/>
          <w:color w:val="auto"/>
        </w:rPr>
      </w:pPr>
      <w:r>
        <w:rPr>
          <w:rFonts w:ascii="Arial" w:cs="Arial" w:eastAsia="Arial" w:hAnsi="Arial"/>
          <w:sz w:val="17"/>
          <w:szCs w:val="17"/>
          <w:color w:val="auto"/>
        </w:rPr>
        <w:t>declare or pay any dividend or make any payment or distribution on account of the Company’s, or any of its Restricted Subsidiaries’ Equity Interests, including any dividend or distribution payable in connection with any merger, amalgamation or consolidation other than:</w:t>
      </w:r>
    </w:p>
    <w:p>
      <w:pPr>
        <w:spacing w:after="0" w:line="38" w:lineRule="exact"/>
        <w:rPr>
          <w:rFonts w:ascii="Arial" w:cs="Arial" w:eastAsia="Arial" w:hAnsi="Arial"/>
          <w:sz w:val="17"/>
          <w:szCs w:val="17"/>
          <w:color w:val="auto"/>
        </w:rPr>
      </w:pPr>
    </w:p>
    <w:p>
      <w:pPr>
        <w:ind w:left="1640" w:hanging="299"/>
        <w:spacing w:after="0"/>
        <w:tabs>
          <w:tab w:leader="none" w:pos="1640" w:val="left"/>
        </w:tabs>
        <w:numPr>
          <w:ilvl w:val="2"/>
          <w:numId w:val="415"/>
        </w:numPr>
        <w:rPr>
          <w:rFonts w:ascii="Arial" w:cs="Arial" w:eastAsia="Arial" w:hAnsi="Arial"/>
          <w:sz w:val="17"/>
          <w:szCs w:val="17"/>
          <w:color w:val="auto"/>
        </w:rPr>
      </w:pPr>
      <w:r>
        <w:rPr>
          <w:rFonts w:ascii="Arial" w:cs="Arial" w:eastAsia="Arial" w:hAnsi="Arial"/>
          <w:sz w:val="17"/>
          <w:szCs w:val="17"/>
          <w:color w:val="auto"/>
        </w:rPr>
        <w:t>dividends or distributions by the Company payable solely in Equity Interests (other than Disqualified Stock) of the Company; or</w:t>
      </w:r>
    </w:p>
    <w:p>
      <w:pPr>
        <w:spacing w:after="0" w:line="128" w:lineRule="exact"/>
        <w:rPr>
          <w:rFonts w:ascii="Arial" w:cs="Arial" w:eastAsia="Arial" w:hAnsi="Arial"/>
          <w:sz w:val="17"/>
          <w:szCs w:val="17"/>
          <w:color w:val="auto"/>
        </w:rPr>
      </w:pPr>
    </w:p>
    <w:p>
      <w:pPr>
        <w:ind w:left="920" w:right="20" w:firstLine="421"/>
        <w:spacing w:after="0" w:line="312" w:lineRule="auto"/>
        <w:tabs>
          <w:tab w:leader="none" w:pos="1625" w:val="left"/>
        </w:tabs>
        <w:numPr>
          <w:ilvl w:val="2"/>
          <w:numId w:val="415"/>
        </w:numPr>
        <w:rPr>
          <w:rFonts w:ascii="Arial" w:cs="Arial" w:eastAsia="Arial" w:hAnsi="Arial"/>
          <w:sz w:val="16"/>
          <w:szCs w:val="16"/>
          <w:color w:val="auto"/>
        </w:rPr>
      </w:pPr>
      <w:r>
        <w:rPr>
          <w:rFonts w:ascii="Arial" w:cs="Arial" w:eastAsia="Arial" w:hAnsi="Arial"/>
          <w:sz w:val="16"/>
          <w:szCs w:val="16"/>
          <w:color w:val="auto"/>
        </w:rPr>
        <w:t>dividends or distributions by a Restricted Subsidiary so long as, in the case of any dividend or distribution payable on or in respect of any class or series of securities issued by a Restricted Subsidiary other than a Wholly-Owned Subsidiary, the Company or a Restricted Subsidiary receives at least its pro rata share of such dividend or distribution in accordance with its Equity Interests in such class or series of securities;</w:t>
      </w:r>
    </w:p>
    <w:p>
      <w:pPr>
        <w:spacing w:after="0" w:line="39" w:lineRule="exact"/>
        <w:rPr>
          <w:sz w:val="20"/>
          <w:szCs w:val="20"/>
          <w:color w:val="auto"/>
        </w:rPr>
      </w:pPr>
    </w:p>
    <w:p>
      <w:pPr>
        <w:ind w:left="460" w:right="140" w:firstLine="443"/>
        <w:spacing w:after="0" w:line="277" w:lineRule="auto"/>
        <w:tabs>
          <w:tab w:leader="none" w:pos="1183" w:val="left"/>
        </w:tabs>
        <w:numPr>
          <w:ilvl w:val="0"/>
          <w:numId w:val="416"/>
        </w:numPr>
        <w:rPr>
          <w:rFonts w:ascii="Arial" w:cs="Arial" w:eastAsia="Arial" w:hAnsi="Arial"/>
          <w:sz w:val="18"/>
          <w:szCs w:val="18"/>
          <w:color w:val="auto"/>
        </w:rPr>
      </w:pPr>
      <w:r>
        <w:rPr>
          <w:rFonts w:ascii="Arial" w:cs="Arial" w:eastAsia="Arial" w:hAnsi="Arial"/>
          <w:sz w:val="18"/>
          <w:szCs w:val="18"/>
          <w:color w:val="auto"/>
        </w:rPr>
        <w:t>purchase, redeem, defease or otherwise acquire or retire for value any Equity Interests of the Company or any direct or indirect parent of the Company, including in connection with any merger, amalgamation or consolidation;</w:t>
      </w:r>
    </w:p>
    <w:p>
      <w:pPr>
        <w:spacing w:after="0" w:line="62" w:lineRule="exact"/>
        <w:rPr>
          <w:sz w:val="20"/>
          <w:szCs w:val="20"/>
          <w:color w:val="auto"/>
        </w:rPr>
      </w:pPr>
    </w:p>
    <w:p>
      <w:pPr>
        <w:ind w:left="460" w:right="160" w:firstLine="443"/>
        <w:spacing w:after="0" w:line="277" w:lineRule="auto"/>
        <w:tabs>
          <w:tab w:leader="none" w:pos="1243" w:val="left"/>
        </w:tabs>
        <w:numPr>
          <w:ilvl w:val="0"/>
          <w:numId w:val="417"/>
        </w:numPr>
        <w:rPr>
          <w:rFonts w:ascii="Arial" w:cs="Arial" w:eastAsia="Arial" w:hAnsi="Arial"/>
          <w:sz w:val="18"/>
          <w:szCs w:val="18"/>
          <w:color w:val="auto"/>
        </w:rPr>
      </w:pPr>
      <w:r>
        <w:rPr>
          <w:rFonts w:ascii="Arial" w:cs="Arial" w:eastAsia="Arial" w:hAnsi="Arial"/>
          <w:sz w:val="18"/>
          <w:szCs w:val="18"/>
          <w:color w:val="auto"/>
        </w:rPr>
        <w:t>make any principal payment on, or redeem, repurchase, defease or otherwise acquire or retire for value in each case, prior to any scheduled repayment, sinking fund payment or maturity, any Subordinated Indebtedness, other than:</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Indebtedness permitted under clauses (7) and (8) of Section 4.09(b) hereof; or</w:t>
      </w:r>
    </w:p>
    <w:p>
      <w:pPr>
        <w:spacing w:after="0" w:line="117" w:lineRule="exact"/>
        <w:rPr>
          <w:rFonts w:ascii="Arial" w:cs="Arial" w:eastAsia="Arial" w:hAnsi="Arial"/>
          <w:sz w:val="18"/>
          <w:szCs w:val="18"/>
          <w:color w:val="auto"/>
        </w:rPr>
      </w:pPr>
    </w:p>
    <w:p>
      <w:pPr>
        <w:ind w:left="920" w:right="520" w:firstLine="421"/>
        <w:spacing w:after="0" w:line="342" w:lineRule="auto"/>
        <w:tabs>
          <w:tab w:leader="none" w:pos="1625" w:val="left"/>
        </w:tabs>
        <w:numPr>
          <w:ilvl w:val="1"/>
          <w:numId w:val="417"/>
        </w:numPr>
        <w:rPr>
          <w:rFonts w:ascii="Arial" w:cs="Arial" w:eastAsia="Arial" w:hAnsi="Arial"/>
          <w:sz w:val="16"/>
          <w:szCs w:val="16"/>
          <w:color w:val="auto"/>
        </w:rPr>
      </w:pPr>
      <w:r>
        <w:rPr>
          <w:rFonts w:ascii="Arial" w:cs="Arial" w:eastAsia="Arial" w:hAnsi="Arial"/>
          <w:sz w:val="16"/>
          <w:szCs w:val="16"/>
          <w:color w:val="auto"/>
        </w:rPr>
        <w:t>the purchase, repurchase or other acquisition of Subordinated Indebtedness purchased in anticipation of satisfying a sinking fund obligation, principal installment or final maturity, in each case due within one year of the date of purchase, repurchase or acquisition; or</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(IV) make any Restricted Investment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such payments and other actions set forth in clauses (I) through (IV) above being collectively referred to as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unless, at the time of such Restricted Payment:</w:t>
      </w:r>
    </w:p>
    <w:p>
      <w:pPr>
        <w:spacing w:after="0" w:line="62" w:lineRule="exact"/>
        <w:rPr>
          <w:sz w:val="20"/>
          <w:szCs w:val="20"/>
          <w:color w:val="auto"/>
        </w:rPr>
      </w:pPr>
    </w:p>
    <w:p>
      <w:pPr>
        <w:ind w:left="1160" w:hanging="257"/>
        <w:spacing w:after="0"/>
        <w:tabs>
          <w:tab w:leader="none" w:pos="11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occur as a consequence thereof;</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on a pro forma basis, the Company could incur $1.00 of additional Indebtedness pursuant to the Fixed Charge Coverage Test set forth in Section 4.09(a) hereof;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266" w:name="page267"/>
    <w:bookmarkEnd w:id="266"/>
    <w:p>
      <w:pPr>
        <w:ind w:left="460" w:right="80" w:firstLine="443"/>
        <w:spacing w:after="0" w:line="259" w:lineRule="auto"/>
        <w:tabs>
          <w:tab w:leader="none" w:pos="1153" w:val="left"/>
        </w:tabs>
        <w:numPr>
          <w:ilvl w:val="0"/>
          <w:numId w:val="4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Restricted Payment, together with the aggregate amount of all other Restricted Payments made by the Company and its Restricted Subsidiaries after the NXP Measurement Date (including Restricted Payments permitted by clauses (1), (2) (with respect to the payment of dividends on Refunding Capital Stock pursuant to clause (b) thereof only), (6)(c) and (14) of Section 4.07(b) hereof, but excluding all other Restricted Payments permitted by Section 4.07 (b) hereof), is less than the sum of (without duplication):</w:t>
      </w:r>
    </w:p>
    <w:p>
      <w:pPr>
        <w:spacing w:after="0" w:line="79" w:lineRule="exact"/>
        <w:rPr>
          <w:sz w:val="20"/>
          <w:szCs w:val="20"/>
          <w:color w:val="auto"/>
        </w:rPr>
      </w:pPr>
    </w:p>
    <w:p>
      <w:pPr>
        <w:ind w:left="460" w:right="40" w:firstLine="443"/>
        <w:spacing w:after="0" w:line="259" w:lineRule="auto"/>
        <w:tabs>
          <w:tab w:leader="none" w:pos="1193" w:val="left"/>
        </w:tabs>
        <w:numPr>
          <w:ilvl w:val="0"/>
          <w:numId w:val="420"/>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the Company for the period (taken as one accounting period and including the predecessor) beginning on the NXP Measurement Date, to the end of the Company’s recently ended fiscal quarter for which internal financial statements are available at the time of such Restricted Payment, or, in the case such Consolidated Net Income for such period is a deficit, minus 100% of such deficit;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jc w:val="both"/>
        <w:ind w:left="460" w:firstLine="443"/>
        <w:spacing w:after="0" w:line="286" w:lineRule="auto"/>
        <w:tabs>
          <w:tab w:leader="none" w:pos="1183" w:val="left"/>
        </w:tabs>
        <w:numPr>
          <w:ilvl w:val="0"/>
          <w:numId w:val="420"/>
        </w:numPr>
        <w:rPr>
          <w:rFonts w:ascii="Arial" w:cs="Arial" w:eastAsia="Arial" w:hAnsi="Arial"/>
          <w:sz w:val="17"/>
          <w:szCs w:val="17"/>
          <w:color w:val="auto"/>
        </w:rPr>
      </w:pPr>
      <w:r>
        <w:rPr>
          <w:rFonts w:ascii="Arial" w:cs="Arial" w:eastAsia="Arial" w:hAnsi="Arial"/>
          <w:sz w:val="17"/>
          <w:szCs w:val="17"/>
          <w:color w:val="auto"/>
        </w:rPr>
        <w:t>100% of the aggregate net cash proceeds and the fair market value of marketable securities or other property received by the Company since immediately after the NXP Measurement Date (other than net cash proceeds to the extent such net cash proceeds have been used to incur Indebtedness, Disqualified Stock or Preferred Stock pursuant to clause (12)(a) of Section 4.09(b) hereof) from the issue or sale of:</w:t>
      </w:r>
    </w:p>
    <w:p>
      <w:pPr>
        <w:spacing w:after="0" w:line="57" w:lineRule="exact"/>
        <w:rPr>
          <w:rFonts w:ascii="Arial" w:cs="Arial" w:eastAsia="Arial" w:hAnsi="Arial"/>
          <w:sz w:val="17"/>
          <w:szCs w:val="17"/>
          <w:color w:val="auto"/>
        </w:rPr>
      </w:pPr>
    </w:p>
    <w:p>
      <w:pPr>
        <w:ind w:left="920" w:right="540" w:firstLine="421"/>
        <w:spacing w:after="0" w:line="277" w:lineRule="auto"/>
        <w:tabs>
          <w:tab w:leader="none" w:pos="1555"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 Equity Interests of the Company, including Treasury Capital Stock, but excluding cash proceeds and the fair market value of marketable securities or other property received from the sale of:</w:t>
      </w:r>
    </w:p>
    <w:p>
      <w:pPr>
        <w:spacing w:after="0" w:line="62" w:lineRule="exact"/>
        <w:rPr>
          <w:rFonts w:ascii="Arial" w:cs="Arial" w:eastAsia="Arial" w:hAnsi="Arial"/>
          <w:sz w:val="18"/>
          <w:szCs w:val="18"/>
          <w:color w:val="auto"/>
        </w:rPr>
      </w:pPr>
    </w:p>
    <w:p>
      <w:pPr>
        <w:ind w:left="1500" w:right="80" w:firstLine="389"/>
        <w:spacing w:after="0" w:line="264" w:lineRule="auto"/>
        <w:tabs>
          <w:tab w:leader="none" w:pos="2152" w:val="left"/>
        </w:tabs>
        <w:numPr>
          <w:ilvl w:val="2"/>
          <w:numId w:val="420"/>
        </w:numPr>
        <w:rPr>
          <w:rFonts w:ascii="Arial" w:cs="Arial" w:eastAsia="Arial" w:hAnsi="Arial"/>
          <w:sz w:val="18"/>
          <w:szCs w:val="18"/>
          <w:color w:val="auto"/>
        </w:rPr>
      </w:pPr>
      <w:r>
        <w:rPr>
          <w:rFonts w:ascii="Arial" w:cs="Arial" w:eastAsia="Arial" w:hAnsi="Arial"/>
          <w:sz w:val="18"/>
          <w:szCs w:val="18"/>
          <w:color w:val="auto"/>
        </w:rPr>
        <w:t>Equity Interests to members of management, directors or consultants of the Company, any direct or indirect parent company of the Company and the Company’s Subsidiaries after the NXP Measurement Date to the extent such amounts have been applied to Restricted Payments made in accordance with clause (4) of Section 4.07(b) hereof; and</w:t>
      </w:r>
    </w:p>
    <w:p>
      <w:pPr>
        <w:spacing w:after="0" w:line="73" w:lineRule="exact"/>
        <w:rPr>
          <w:rFonts w:ascii="Arial" w:cs="Arial" w:eastAsia="Arial" w:hAnsi="Arial"/>
          <w:sz w:val="18"/>
          <w:szCs w:val="18"/>
          <w:color w:val="auto"/>
        </w:rPr>
      </w:pPr>
    </w:p>
    <w:p>
      <w:pPr>
        <w:ind w:left="2140" w:hanging="251"/>
        <w:spacing w:after="0"/>
        <w:tabs>
          <w:tab w:leader="none" w:pos="2140" w:val="left"/>
        </w:tabs>
        <w:numPr>
          <w:ilvl w:val="2"/>
          <w:numId w:val="420"/>
        </w:numPr>
        <w:rPr>
          <w:rFonts w:ascii="Arial" w:cs="Arial" w:eastAsia="Arial" w:hAnsi="Arial"/>
          <w:sz w:val="18"/>
          <w:szCs w:val="18"/>
          <w:color w:val="auto"/>
        </w:rPr>
      </w:pPr>
      <w:r>
        <w:rPr>
          <w:rFonts w:ascii="Arial" w:cs="Arial" w:eastAsia="Arial" w:hAnsi="Arial"/>
          <w:sz w:val="18"/>
          <w:szCs w:val="18"/>
          <w:color w:val="auto"/>
        </w:rPr>
        <w:t>Designated Preferred Stock;</w:t>
      </w:r>
    </w:p>
    <w:p>
      <w:pPr>
        <w:spacing w:after="0" w:line="117"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and (B) to the extent such net cash proceeds are actually contributed to the Company, Equity Interests of the Company’s direct or indirect parent companies (excluding contributions of the proceeds from the sale of Designated Preferred Stock of such companies or contributions to the extent such amounts have been applied to Restricted Payments made in accordance with clause (4) of Section 4.07(b) hereof; or</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 debt securities of the Company that have been converted into or exchanged for such Equity Interests of the Company;</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(B) shall not include the proceeds from (W) Refunding Capital Stock, (X) Equity Interests or convertible debt securities of the Company sold to a Restricted Subsidiary, (Y) Disqualified Stock or debt securities that have been converted into Disqualified Stock or (Z) Excluded Contributions; plus</w:t>
      </w:r>
    </w:p>
    <w:p>
      <w:pPr>
        <w:spacing w:after="0" w:line="73" w:lineRule="exact"/>
        <w:rPr>
          <w:sz w:val="20"/>
          <w:szCs w:val="20"/>
          <w:color w:val="auto"/>
        </w:rPr>
      </w:pPr>
    </w:p>
    <w:p>
      <w:pPr>
        <w:ind w:left="460" w:right="240" w:firstLine="443"/>
        <w:spacing w:after="0" w:line="259" w:lineRule="auto"/>
        <w:tabs>
          <w:tab w:leader="none" w:pos="1183" w:val="left"/>
        </w:tabs>
        <w:numPr>
          <w:ilvl w:val="0"/>
          <w:numId w:val="421"/>
        </w:numPr>
        <w:rPr>
          <w:rFonts w:ascii="Arial" w:cs="Arial" w:eastAsia="Arial" w:hAnsi="Arial"/>
          <w:sz w:val="18"/>
          <w:szCs w:val="18"/>
          <w:color w:val="auto"/>
        </w:rPr>
      </w:pPr>
      <w:r>
        <w:rPr>
          <w:rFonts w:ascii="Arial" w:cs="Arial" w:eastAsia="Arial" w:hAnsi="Arial"/>
          <w:sz w:val="18"/>
          <w:szCs w:val="18"/>
          <w:color w:val="auto"/>
        </w:rPr>
        <w:t>100% of the aggregate amount of cash and the fair market value of marketable securities or other property contributed to the capital of the Company following the NXP Measurement Date (other than net cash proceeds to the extent such net cash proceeds have been used to incur Indebtedness, Disqualified Stock or Preferred Stock pursuant to clause (12)(a) of Section 4.09(b) hereof) (other than by a Restricted Subsidiary and other than by any Excluded Contributions); plus</w:t>
      </w:r>
    </w:p>
    <w:p>
      <w:pPr>
        <w:spacing w:after="0" w:line="78" w:lineRule="exact"/>
        <w:rPr>
          <w:rFonts w:ascii="Arial" w:cs="Arial" w:eastAsia="Arial" w:hAnsi="Arial"/>
          <w:sz w:val="18"/>
          <w:szCs w:val="18"/>
          <w:color w:val="auto"/>
        </w:rPr>
      </w:pPr>
    </w:p>
    <w:p>
      <w:pPr>
        <w:ind w:left="5620" w:right="240" w:hanging="4717"/>
        <w:spacing w:after="0" w:line="449" w:lineRule="auto"/>
        <w:tabs>
          <w:tab w:leader="none" w:pos="119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100% of the aggregate amount received in cash and the fair market value of marketable securities or other property received by means of: 64</w:t>
      </w:r>
    </w:p>
    <w:p>
      <w:pPr>
        <w:sectPr>
          <w:pgSz w:w="11900" w:h="16838" w:orient="portrait"/>
          <w:cols w:equalWidth="0" w:num="1">
            <w:col w:w="11360"/>
          </w:cols>
          <w:pgMar w:left="240" w:top="274" w:right="299" w:bottom="1440" w:gutter="0" w:footer="0" w:header="0"/>
        </w:sectPr>
      </w:pPr>
    </w:p>
    <w:bookmarkStart w:id="267" w:name="page268"/>
    <w:bookmarkEnd w:id="267"/>
    <w:p>
      <w:pPr>
        <w:jc w:val="both"/>
        <w:ind w:left="460" w:right="60" w:firstLine="421"/>
        <w:spacing w:after="0" w:line="259" w:lineRule="auto"/>
        <w:tabs>
          <w:tab w:leader="none" w:pos="1095" w:val="left"/>
        </w:tabs>
        <w:numPr>
          <w:ilvl w:val="1"/>
          <w:numId w:val="4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sale or other disposition (other than to the Company or a Restricted Subsidiary) of Restricted Investments made by the Company or its Restricted Subsidiaries and repurchases and redemptions of such Restricted Investments from the Company or its Restricted Subsidiaries and repayments of loans or advances, and releases of guarantees, which constitute Restricted Investments by the Company or its Restricted Subsidiaries, in each case after the NXP Measurement Date; or</w:t>
      </w:r>
    </w:p>
    <w:p>
      <w:pPr>
        <w:spacing w:after="0" w:line="78" w:lineRule="exact"/>
        <w:rPr>
          <w:rFonts w:ascii="Arial" w:cs="Arial" w:eastAsia="Arial" w:hAnsi="Arial"/>
          <w:sz w:val="18"/>
          <w:szCs w:val="18"/>
          <w:color w:val="auto"/>
        </w:rPr>
      </w:pPr>
    </w:p>
    <w:p>
      <w:pPr>
        <w:jc w:val="both"/>
        <w:ind w:left="460" w:right="160" w:firstLine="421"/>
        <w:spacing w:after="0" w:line="279" w:lineRule="auto"/>
        <w:tabs>
          <w:tab w:leader="none" w:pos="1145" w:val="left"/>
        </w:tabs>
        <w:numPr>
          <w:ilvl w:val="1"/>
          <w:numId w:val="422"/>
        </w:numPr>
        <w:rPr>
          <w:rFonts w:ascii="Arial" w:cs="Arial" w:eastAsia="Arial" w:hAnsi="Arial"/>
          <w:sz w:val="17"/>
          <w:szCs w:val="17"/>
          <w:color w:val="auto"/>
        </w:rPr>
      </w:pPr>
      <w:r>
        <w:rPr>
          <w:rFonts w:ascii="Arial" w:cs="Arial" w:eastAsia="Arial" w:hAnsi="Arial"/>
          <w:sz w:val="17"/>
          <w:szCs w:val="17"/>
          <w:color w:val="auto"/>
        </w:rPr>
        <w:t>the sale (other than to the Company or a Restricted Subsidiary) of the stock of an Unrestricted Subsidiary or a distribution from an Unrestricted Subsidiary (other than in each case to the extent the Investment in such Unrestricted Subsidiary was made by the Company or a Restricted Subsidiary pursuant to clause (7) of Section 4.07(b) hereof or to the extent such Investment constituted a Permitted Investment) or a dividend from an Unrestricted Subsidiary after the NXP Measurement Date; plus</w:t>
      </w:r>
    </w:p>
    <w:p>
      <w:pPr>
        <w:spacing w:after="0" w:line="63" w:lineRule="exact"/>
        <w:rPr>
          <w:rFonts w:ascii="Arial" w:cs="Arial" w:eastAsia="Arial" w:hAnsi="Arial"/>
          <w:sz w:val="17"/>
          <w:szCs w:val="17"/>
          <w:color w:val="auto"/>
        </w:rPr>
      </w:pPr>
    </w:p>
    <w:p>
      <w:pPr>
        <w:ind w:right="60" w:firstLine="443"/>
        <w:spacing w:after="0" w:line="276" w:lineRule="auto"/>
        <w:tabs>
          <w:tab w:leader="none" w:pos="713" w:val="left"/>
        </w:tabs>
        <w:numPr>
          <w:ilvl w:val="0"/>
          <w:numId w:val="423"/>
        </w:numPr>
        <w:rPr>
          <w:rFonts w:ascii="Arial" w:cs="Arial" w:eastAsia="Arial" w:hAnsi="Arial"/>
          <w:sz w:val="17"/>
          <w:szCs w:val="17"/>
          <w:color w:val="auto"/>
        </w:rPr>
      </w:pPr>
      <w:r>
        <w:rPr>
          <w:rFonts w:ascii="Arial" w:cs="Arial" w:eastAsia="Arial" w:hAnsi="Arial"/>
          <w:sz w:val="17"/>
          <w:szCs w:val="17"/>
          <w:color w:val="auto"/>
        </w:rPr>
        <w:t>in the case of the redesignation of an Unrestricted Subsidiary as a Restricted Subsidiary after the NXP Measurement Date, the fair market value of the Investment in such Unrestricted Subsidiary (which, if the fair market value of such Investment shall exceed $100.0 million, shall be set forth in writing by an Independent Financial Advisor), at the time of the redesignation of such Unrestricted Subsidiary as a Restricted Subsidiary other than an Unrestricted Subsidiary to the extent the Investment in such Unrestricted Subsidiary was made by the Company or a Restricted Subsidiary pursuant to clause (7) of Section 4.07(b) hereof or to the extent such Investment constituted a Permitted Investment;</w:t>
      </w:r>
    </w:p>
    <w:p>
      <w:pPr>
        <w:spacing w:after="0" w:line="64"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provided, further, that, notwithstanding anything to the contrary provided in this Section 4.07(a)(3), such sum shall equal $1,780 million as of the Merger Date, with no further adjustments for financial results or actions occurring on or prior to the Merger Date.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The foregoing provisions of Section 4.07(a) hereof will not prohibit:</w:t>
      </w:r>
    </w:p>
    <w:p>
      <w:pPr>
        <w:spacing w:after="0" w:line="117" w:lineRule="exact"/>
        <w:rPr>
          <w:sz w:val="20"/>
          <w:szCs w:val="20"/>
          <w:color w:val="auto"/>
        </w:rPr>
      </w:pPr>
    </w:p>
    <w:p>
      <w:pPr>
        <w:ind w:right="520" w:firstLine="443"/>
        <w:spacing w:after="0" w:line="277" w:lineRule="auto"/>
        <w:tabs>
          <w:tab w:leader="none" w:pos="69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payment of any dividend within 60 days after the date of declaration thereof, if at the date of declaration such payment would have complied with the provisions of this Indenture;</w:t>
      </w:r>
    </w:p>
    <w:p>
      <w:pPr>
        <w:spacing w:after="0" w:line="62" w:lineRule="exact"/>
        <w:rPr>
          <w:rFonts w:ascii="Arial" w:cs="Arial" w:eastAsia="Arial" w:hAnsi="Arial"/>
          <w:sz w:val="18"/>
          <w:szCs w:val="18"/>
          <w:color w:val="auto"/>
        </w:rPr>
      </w:pPr>
    </w:p>
    <w:p>
      <w:pPr>
        <w:ind w:right="20" w:firstLine="443"/>
        <w:spacing w:after="0" w:line="270" w:lineRule="auto"/>
        <w:tabs>
          <w:tab w:leader="none" w:pos="693" w:val="left"/>
        </w:tabs>
        <w:numPr>
          <w:ilvl w:val="0"/>
          <w:numId w:val="424"/>
        </w:numPr>
        <w:rPr>
          <w:rFonts w:ascii="Arial" w:cs="Arial" w:eastAsia="Arial" w:hAnsi="Arial"/>
          <w:sz w:val="17"/>
          <w:szCs w:val="17"/>
          <w:color w:val="auto"/>
        </w:rPr>
      </w:pPr>
      <w:r>
        <w:rPr>
          <w:rFonts w:ascii="Arial" w:cs="Arial" w:eastAsia="Arial" w:hAnsi="Arial"/>
          <w:sz w:val="17"/>
          <w:szCs w:val="17"/>
          <w:color w:val="auto"/>
        </w:rPr>
        <w:t>(a) the redemption, repurchase, retirement or other acquisition of any Equity Interests (“Treasury Capital Stock”) or Subordinated Indebtedness of the Company or any Equity Interests of any direct or indirect parent company of the Company, in exchange for, or out of the proceeds of the substantially concurrent sale (other than to a Restricted Subsidiary) of, Equity Interests of the Company or any direct or indirect parent company of the Company to the extent contributed to the Company (in each case, other than any Disqualified Stock) (“Refunding Capital Stock”) and (b) if immediately prior to the retirement of Treasury Capital Stock, the declaration and payment of dividends thereon was permitted under clause (6) of this Section 4.07(b), the declaration and payment of dividends on the Refunding Capital Stock (other than Refunding Capital Stock the proceeds of which were used to redeem, repurchase, retire or otherwise acquire any Equity Interests of any direct or indirect parent company of the Company) in an aggregate amount per year no greater than the aggregate amount of dividends per annum that were declarable and payable on such Treasury Capital Stock immediately prior to such retirement;</w:t>
      </w:r>
    </w:p>
    <w:p>
      <w:pPr>
        <w:spacing w:after="0" w:line="73" w:lineRule="exact"/>
        <w:rPr>
          <w:rFonts w:ascii="Arial" w:cs="Arial" w:eastAsia="Arial" w:hAnsi="Arial"/>
          <w:sz w:val="17"/>
          <w:szCs w:val="17"/>
          <w:color w:val="auto"/>
        </w:rPr>
      </w:pPr>
    </w:p>
    <w:p>
      <w:pPr>
        <w:jc w:val="both"/>
        <w:ind w:right="220" w:firstLine="443"/>
        <w:spacing w:after="0" w:line="259" w:lineRule="auto"/>
        <w:tabs>
          <w:tab w:leader="none" w:pos="69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defeasance, redemption, repurchase or other acquisition or retirement of Subordinated Indebtedness of the Company, the Issuer or a Subsidiary Guarantor made (i) with Excluded Proceeds or (ii) by exchange for, or out of the proceeds of the substantially concurrent sale of, new Indebtedness of the Company, the Issuer or a Subsidiary Guarantor, as the case may be, which is incurred in compliance with Section 4.09 hereof so long as, in the case of clause (ii):</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00"/>
          </w:cols>
          <w:pgMar w:left="700" w:top="274" w:right="299" w:bottom="1440" w:gutter="0" w:footer="0" w:header="0"/>
        </w:sectPr>
      </w:pPr>
    </w:p>
    <w:bookmarkStart w:id="268" w:name="page269"/>
    <w:bookmarkEnd w:id="268"/>
    <w:p>
      <w:pPr>
        <w:ind w:left="920" w:right="60" w:firstLine="421"/>
        <w:spacing w:after="0" w:line="302" w:lineRule="auto"/>
        <w:tabs>
          <w:tab w:leader="none" w:pos="1635" w:val="left"/>
        </w:tabs>
        <w:numPr>
          <w:ilvl w:val="3"/>
          <w:numId w:val="4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principal amount of such new Indebtedness does not exceed the principal amount of (or accreted value, if applicable), plus any accrued and unpaid interest on, the Subordinated Indebtedness being so redeemed, repurchased, acquired or retired for value, plus the amount of any reasonable premium required to be paid under the terms of the instrument governing the Subordinated Indebtedness being so redeemed, repurchased, acquired or retired and any reasonable fees and expenses incurred in connection with the issuance of such new Indebtedness;</w:t>
      </w:r>
    </w:p>
    <w:p>
      <w:pPr>
        <w:spacing w:after="0" w:line="46" w:lineRule="exact"/>
        <w:rPr>
          <w:rFonts w:ascii="Arial" w:cs="Arial" w:eastAsia="Arial" w:hAnsi="Arial"/>
          <w:sz w:val="16"/>
          <w:szCs w:val="16"/>
          <w:color w:val="auto"/>
        </w:rPr>
      </w:pPr>
    </w:p>
    <w:p>
      <w:pPr>
        <w:ind w:left="920" w:right="540" w:firstLine="421"/>
        <w:spacing w:after="0" w:line="277" w:lineRule="auto"/>
        <w:tabs>
          <w:tab w:leader="none" w:pos="1625" w:val="left"/>
        </w:tabs>
        <w:numPr>
          <w:ilvl w:val="3"/>
          <w:numId w:val="425"/>
        </w:numPr>
        <w:rPr>
          <w:rFonts w:ascii="Arial" w:cs="Arial" w:eastAsia="Arial" w:hAnsi="Arial"/>
          <w:sz w:val="18"/>
          <w:szCs w:val="18"/>
          <w:color w:val="auto"/>
        </w:rPr>
      </w:pPr>
      <w:r>
        <w:rPr>
          <w:rFonts w:ascii="Arial" w:cs="Arial" w:eastAsia="Arial" w:hAnsi="Arial"/>
          <w:sz w:val="18"/>
          <w:szCs w:val="18"/>
          <w:color w:val="auto"/>
        </w:rPr>
        <w:t>such new Indebtedness is subordinated to the Notes or the applicable Guarantee at least to the same extent as such Subordinated Indebtedness so purchased, exchanged, redeemed, repurchased, acquired or retired for value;</w:t>
      </w:r>
    </w:p>
    <w:p>
      <w:pPr>
        <w:spacing w:after="0" w:line="62" w:lineRule="exact"/>
        <w:rPr>
          <w:rFonts w:ascii="Arial" w:cs="Arial" w:eastAsia="Arial" w:hAnsi="Arial"/>
          <w:sz w:val="18"/>
          <w:szCs w:val="18"/>
          <w:color w:val="auto"/>
        </w:rPr>
      </w:pPr>
    </w:p>
    <w:p>
      <w:pPr>
        <w:ind w:left="920" w:right="140" w:firstLine="421"/>
        <w:spacing w:after="0" w:line="277" w:lineRule="auto"/>
        <w:tabs>
          <w:tab w:leader="none" w:pos="1625" w:val="left"/>
        </w:tabs>
        <w:numPr>
          <w:ilvl w:val="3"/>
          <w:numId w:val="425"/>
        </w:numPr>
        <w:rPr>
          <w:rFonts w:ascii="Arial" w:cs="Arial" w:eastAsia="Arial" w:hAnsi="Arial"/>
          <w:sz w:val="18"/>
          <w:szCs w:val="18"/>
          <w:color w:val="auto"/>
        </w:rPr>
      </w:pPr>
      <w:r>
        <w:rPr>
          <w:rFonts w:ascii="Arial" w:cs="Arial" w:eastAsia="Arial" w:hAnsi="Arial"/>
          <w:sz w:val="18"/>
          <w:szCs w:val="18"/>
          <w:color w:val="auto"/>
        </w:rPr>
        <w:t>such new Indebtedness has a final scheduled maturity date equal to or later than the final scheduled maturity date of the Subordinated Indebtedness being so redeemed, repurchased, acquired or retired; and</w:t>
      </w:r>
    </w:p>
    <w:p>
      <w:pPr>
        <w:spacing w:after="0" w:line="62" w:lineRule="exact"/>
        <w:rPr>
          <w:rFonts w:ascii="Arial" w:cs="Arial" w:eastAsia="Arial" w:hAnsi="Arial"/>
          <w:sz w:val="18"/>
          <w:szCs w:val="18"/>
          <w:color w:val="auto"/>
        </w:rPr>
      </w:pPr>
    </w:p>
    <w:p>
      <w:pPr>
        <w:ind w:left="920" w:right="440" w:firstLine="421"/>
        <w:spacing w:after="0" w:line="277" w:lineRule="auto"/>
        <w:tabs>
          <w:tab w:leader="none" w:pos="1635" w:val="left"/>
        </w:tabs>
        <w:numPr>
          <w:ilvl w:val="3"/>
          <w:numId w:val="425"/>
        </w:numPr>
        <w:rPr>
          <w:rFonts w:ascii="Arial" w:cs="Arial" w:eastAsia="Arial" w:hAnsi="Arial"/>
          <w:sz w:val="18"/>
          <w:szCs w:val="18"/>
          <w:color w:val="auto"/>
        </w:rPr>
      </w:pPr>
      <w:r>
        <w:rPr>
          <w:rFonts w:ascii="Arial" w:cs="Arial" w:eastAsia="Arial" w:hAnsi="Arial"/>
          <w:sz w:val="18"/>
          <w:szCs w:val="18"/>
          <w:color w:val="auto"/>
        </w:rPr>
        <w:t>such new Indebtedness has a Weighted Average Life to Maturity equal to or greater than the remaining Weighted Average Life to Maturity of the Subordinated Indebtedness being so redeemed, repurchased, acquired or retired;</w:t>
      </w:r>
    </w:p>
    <w:p>
      <w:pPr>
        <w:spacing w:after="0" w:line="62" w:lineRule="exact"/>
        <w:rPr>
          <w:rFonts w:ascii="Arial" w:cs="Arial" w:eastAsia="Arial" w:hAnsi="Arial"/>
          <w:sz w:val="18"/>
          <w:szCs w:val="18"/>
          <w:color w:val="auto"/>
        </w:rPr>
      </w:pPr>
    </w:p>
    <w:p>
      <w:pPr>
        <w:ind w:left="460" w:right="80" w:firstLine="443"/>
        <w:spacing w:after="0" w:line="286" w:lineRule="auto"/>
        <w:tabs>
          <w:tab w:leader="none" w:pos="1153" w:val="left"/>
        </w:tabs>
        <w:numPr>
          <w:ilvl w:val="1"/>
          <w:numId w:val="426"/>
        </w:numPr>
        <w:rPr>
          <w:rFonts w:ascii="Arial" w:cs="Arial" w:eastAsia="Arial" w:hAnsi="Arial"/>
          <w:sz w:val="16"/>
          <w:szCs w:val="16"/>
          <w:color w:val="auto"/>
        </w:rPr>
      </w:pPr>
      <w:r>
        <w:rPr>
          <w:rFonts w:ascii="Arial" w:cs="Arial" w:eastAsia="Arial" w:hAnsi="Arial"/>
          <w:sz w:val="16"/>
          <w:szCs w:val="16"/>
          <w:color w:val="auto"/>
        </w:rPr>
        <w:t xml:space="preserve">a Restricted Payment to pay for the repurchase, retirement or other acquisition or retirement for value of Equity Interests (other than Disqualified Stock) of the Company or any of its direct or indirect parent companies held by any future, present or former employee, director or consultant of the Company, any of its Subsidiaries or any of its direct or indirect parent companies pursuant to any management equity plan or stock option plan or any other management or employee benefit plan 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aggregate Restricted Payments made under this clause</w:t>
      </w:r>
    </w:p>
    <w:p>
      <w:pPr>
        <w:spacing w:after="0" w:line="1" w:lineRule="exact"/>
        <w:rPr>
          <w:rFonts w:ascii="Arial" w:cs="Arial" w:eastAsia="Arial" w:hAnsi="Arial"/>
          <w:sz w:val="16"/>
          <w:szCs w:val="16"/>
          <w:color w:val="auto"/>
        </w:rPr>
      </w:pPr>
    </w:p>
    <w:p>
      <w:pPr>
        <w:ind w:left="460" w:firstLine="4"/>
        <w:spacing w:after="0" w:line="255" w:lineRule="auto"/>
        <w:tabs>
          <w:tab w:leader="none" w:pos="715"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do not exceed in any calendar year $75.0 million (with unused amounts in any calendar year being carried over to succeeding calendar years subject to a maximum (without giving effect to the following proviso) of $100.0 million in any calendar year);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amount in any calendar year may be increased by an amount not to exceed:</w:t>
      </w:r>
    </w:p>
    <w:p>
      <w:pPr>
        <w:spacing w:after="0" w:line="82" w:lineRule="exact"/>
        <w:rPr>
          <w:rFonts w:ascii="Arial" w:cs="Arial" w:eastAsia="Arial" w:hAnsi="Arial"/>
          <w:sz w:val="18"/>
          <w:szCs w:val="18"/>
          <w:color w:val="auto"/>
        </w:rPr>
      </w:pPr>
    </w:p>
    <w:p>
      <w:pPr>
        <w:ind w:left="920" w:right="40" w:firstLine="421"/>
        <w:spacing w:after="0" w:line="257" w:lineRule="auto"/>
        <w:tabs>
          <w:tab w:leader="none" w:pos="1635" w:val="left"/>
        </w:tabs>
        <w:numPr>
          <w:ilvl w:val="3"/>
          <w:numId w:val="427"/>
        </w:numPr>
        <w:rPr>
          <w:rFonts w:ascii="Arial" w:cs="Arial" w:eastAsia="Arial" w:hAnsi="Arial"/>
          <w:sz w:val="18"/>
          <w:szCs w:val="18"/>
          <w:color w:val="auto"/>
        </w:rPr>
      </w:pPr>
      <w:r>
        <w:rPr>
          <w:rFonts w:ascii="Arial" w:cs="Arial" w:eastAsia="Arial" w:hAnsi="Arial"/>
          <w:sz w:val="18"/>
          <w:szCs w:val="18"/>
          <w:color w:val="auto"/>
        </w:rPr>
        <w:t xml:space="preserve">the cash proceeds from the sale of Equity Interests (other than Disqualified Stock) of the Company and, to the extent contributed to the Company, Equity Interests of any of the Company’s direct or indirect parent companies, in each case to members of management, directors or consultants of the Company, any of its Subsidiaries or any of its direct or indirect parent companies that occurs after the NXP Original Issue Date, to the extent the cash proceeds from the sale of such Equity Interests have not otherwise been applied to the payment of Restricted Payments by virtue of clause (3) of Section 4.07(a) hereof; </w:t>
      </w:r>
      <w:r>
        <w:rPr>
          <w:rFonts w:ascii="Arial" w:cs="Arial" w:eastAsia="Arial" w:hAnsi="Arial"/>
          <w:sz w:val="18"/>
          <w:szCs w:val="18"/>
          <w:u w:val="single" w:color="auto"/>
          <w:color w:val="auto"/>
        </w:rPr>
        <w:t>plus</w:t>
      </w:r>
    </w:p>
    <w:p>
      <w:pPr>
        <w:spacing w:after="0" w:line="80" w:lineRule="exact"/>
        <w:rPr>
          <w:rFonts w:ascii="Arial" w:cs="Arial" w:eastAsia="Arial" w:hAnsi="Arial"/>
          <w:sz w:val="18"/>
          <w:szCs w:val="18"/>
          <w:color w:val="auto"/>
        </w:rPr>
      </w:pPr>
    </w:p>
    <w:p>
      <w:pPr>
        <w:ind w:left="920" w:right="320" w:firstLine="421"/>
        <w:spacing w:after="0" w:line="277" w:lineRule="auto"/>
        <w:tabs>
          <w:tab w:leader="none" w:pos="1625" w:val="left"/>
        </w:tabs>
        <w:numPr>
          <w:ilvl w:val="3"/>
          <w:numId w:val="427"/>
        </w:numPr>
        <w:rPr>
          <w:rFonts w:ascii="Arial" w:cs="Arial" w:eastAsia="Arial" w:hAnsi="Arial"/>
          <w:sz w:val="18"/>
          <w:szCs w:val="18"/>
          <w:color w:val="auto"/>
        </w:rPr>
      </w:pPr>
      <w:r>
        <w:rPr>
          <w:rFonts w:ascii="Arial" w:cs="Arial" w:eastAsia="Arial" w:hAnsi="Arial"/>
          <w:sz w:val="18"/>
          <w:szCs w:val="18"/>
          <w:color w:val="auto"/>
        </w:rPr>
        <w:t xml:space="preserve">the cash proceeds of key man life insurance policies received by the Company or its Restricted Subsidiaries after the NXP Original Issue Date; </w:t>
      </w:r>
      <w:r>
        <w:rPr>
          <w:rFonts w:ascii="Arial" w:cs="Arial" w:eastAsia="Arial" w:hAnsi="Arial"/>
          <w:sz w:val="18"/>
          <w:szCs w:val="18"/>
          <w:u w:val="single" w:color="auto"/>
          <w:color w:val="auto"/>
        </w:rPr>
        <w:t>less</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3"/>
          <w:numId w:val="427"/>
        </w:numPr>
        <w:rPr>
          <w:rFonts w:ascii="Arial" w:cs="Arial" w:eastAsia="Arial" w:hAnsi="Arial"/>
          <w:sz w:val="16"/>
          <w:szCs w:val="16"/>
          <w:color w:val="auto"/>
        </w:rPr>
      </w:pPr>
      <w:r>
        <w:rPr>
          <w:rFonts w:ascii="Arial" w:cs="Arial" w:eastAsia="Arial" w:hAnsi="Arial"/>
          <w:sz w:val="16"/>
          <w:szCs w:val="16"/>
          <w:color w:val="auto"/>
        </w:rPr>
        <w:t>the amount of any Restricted Payments made after the NXP Original Issue Date with the cash proceeds described in clauses (A) and</w:t>
      </w:r>
    </w:p>
    <w:p>
      <w:pPr>
        <w:spacing w:after="0" w:line="46" w:lineRule="exact"/>
        <w:rPr>
          <w:rFonts w:ascii="Arial" w:cs="Arial" w:eastAsia="Arial" w:hAnsi="Arial"/>
          <w:sz w:val="16"/>
          <w:szCs w:val="16"/>
          <w:color w:val="auto"/>
        </w:rPr>
      </w:pPr>
    </w:p>
    <w:p>
      <w:pPr>
        <w:ind w:left="1200" w:hanging="279"/>
        <w:spacing w:after="0"/>
        <w:tabs>
          <w:tab w:leader="none" w:pos="1200" w:val="left"/>
        </w:tabs>
        <w:numPr>
          <w:ilvl w:val="2"/>
          <w:numId w:val="427"/>
        </w:numPr>
        <w:rPr>
          <w:rFonts w:ascii="Arial" w:cs="Arial" w:eastAsia="Arial" w:hAnsi="Arial"/>
          <w:sz w:val="18"/>
          <w:szCs w:val="18"/>
          <w:color w:val="auto"/>
        </w:rPr>
      </w:pPr>
      <w:r>
        <w:rPr>
          <w:rFonts w:ascii="Arial" w:cs="Arial" w:eastAsia="Arial" w:hAnsi="Arial"/>
          <w:sz w:val="18"/>
          <w:szCs w:val="18"/>
          <w:color w:val="auto"/>
        </w:rPr>
        <w:t>of this clause (4);</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cancellation of Indebtedness owing to the Company from members of management of the Company, any of the Company’s direct or indirect parent companies or any of the Company’s Restricted Subsidiaries in connection with a repurchase of Equity Interests of the Company or any of its direct or indirect parent companies will not be deemed to constitute a Restricted Payment for purposes of this Section 4.07 or any other provision of this Indenture;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74" w:right="279" w:bottom="1440" w:gutter="0" w:footer="0" w:header="0"/>
        </w:sectPr>
      </w:pPr>
    </w:p>
    <w:bookmarkStart w:id="269" w:name="page270"/>
    <w:bookmarkEnd w:id="269"/>
    <w:p>
      <w:pPr>
        <w:ind w:left="460" w:right="400" w:firstLine="443"/>
        <w:spacing w:after="0" w:line="264" w:lineRule="auto"/>
        <w:tabs>
          <w:tab w:leader="none" w:pos="1153" w:val="left"/>
        </w:tabs>
        <w:numPr>
          <w:ilvl w:val="0"/>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declaration and payment of dividends to holders of any class or series of Disqualified Stock of the Company or any of its Restricted Subsidiaries or any class or series of Preferred Stock of any Restricted Subsidiary issued in accordance with Section 4.09 hereof to the extent such dividends are included in the definition of “Fixed Charges”;</w:t>
      </w:r>
    </w:p>
    <w:p>
      <w:pPr>
        <w:spacing w:after="0" w:line="73"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 (the declaration and payment of dividends to holders of any class or series of Designated Preferred Stock (other than Disqualified Stock) issued by the Company after the NXP Measurement Date;</w:t>
      </w:r>
    </w:p>
    <w:p>
      <w:pPr>
        <w:spacing w:after="0" w:line="62" w:lineRule="exact"/>
        <w:rPr>
          <w:rFonts w:ascii="Arial" w:cs="Arial" w:eastAsia="Arial" w:hAnsi="Arial"/>
          <w:sz w:val="18"/>
          <w:szCs w:val="18"/>
          <w:color w:val="auto"/>
        </w:rPr>
      </w:pPr>
    </w:p>
    <w:p>
      <w:pPr>
        <w:ind w:left="920" w:right="80" w:firstLine="421"/>
        <w:spacing w:after="0" w:line="279" w:lineRule="auto"/>
        <w:tabs>
          <w:tab w:leader="none" w:pos="1625" w:val="left"/>
        </w:tabs>
        <w:numPr>
          <w:ilvl w:val="1"/>
          <w:numId w:val="428"/>
        </w:numPr>
        <w:rPr>
          <w:rFonts w:ascii="Arial" w:cs="Arial" w:eastAsia="Arial" w:hAnsi="Arial"/>
          <w:sz w:val="17"/>
          <w:szCs w:val="17"/>
          <w:color w:val="auto"/>
        </w:rPr>
      </w:pPr>
      <w:r>
        <w:rPr>
          <w:rFonts w:ascii="Arial" w:cs="Arial" w:eastAsia="Arial" w:hAnsi="Arial"/>
          <w:sz w:val="17"/>
          <w:szCs w:val="17"/>
          <w:color w:val="auto"/>
        </w:rPr>
        <w:t xml:space="preserve">the declaration and payment of dividends to a direct or indirect parent company of the Company, the proceeds of which will be used to fund the payment of dividends to holders of any class or series of Designated Preferred Stock (other than Disqualified Stock) of such parent corporation issued after the NXP Measurement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dividends paid pursuant to this clause (B) shall not exceed the aggregate amount of cash actually contributed to the Company from the sale of such Designated Preferred Stock; or</w:t>
      </w:r>
    </w:p>
    <w:p>
      <w:pPr>
        <w:spacing w:after="0" w:line="63" w:lineRule="exact"/>
        <w:rPr>
          <w:rFonts w:ascii="Arial" w:cs="Arial" w:eastAsia="Arial" w:hAnsi="Arial"/>
          <w:sz w:val="17"/>
          <w:szCs w:val="17"/>
          <w:color w:val="auto"/>
        </w:rPr>
      </w:pPr>
    </w:p>
    <w:p>
      <w:pPr>
        <w:ind w:left="920" w:right="100" w:firstLine="421"/>
        <w:spacing w:after="0" w:line="277" w:lineRule="auto"/>
        <w:tabs>
          <w:tab w:leader="none" w:pos="1625"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declaration and payment of dividends on Refunding Capital Stock that is Preferred Stock in excess of the dividends declarable and payable thereon pursuant to clause (2) of this Section 4.07(b);</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case of each of (A), (B) and (C) of this clause (6), that for the most recently ended four full fiscal quarters for which internal financial statements are available immediately preceding the date of issuance of such Designated Preferred Stock or the declaration of such dividends on Refunding Capital Stock that is Preferred Stock, after giving effect to such issuance or declaration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the Company and its Restricted Subsidiaries on a consolidated basis would have had a Fixed Charge Coverage Ratio of at least 2.00 to 1.00;</w:t>
      </w:r>
    </w:p>
    <w:p>
      <w:pPr>
        <w:spacing w:after="0" w:line="79" w:lineRule="exact"/>
        <w:rPr>
          <w:sz w:val="20"/>
          <w:szCs w:val="20"/>
          <w:color w:val="auto"/>
        </w:rPr>
      </w:pPr>
    </w:p>
    <w:p>
      <w:pPr>
        <w:ind w:left="460" w:right="40" w:firstLine="443"/>
        <w:spacing w:after="0" w:line="302" w:lineRule="auto"/>
        <w:tabs>
          <w:tab w:leader="none" w:pos="1153" w:val="left"/>
        </w:tabs>
        <w:numPr>
          <w:ilvl w:val="0"/>
          <w:numId w:val="429"/>
        </w:numPr>
        <w:rPr>
          <w:rFonts w:ascii="Arial" w:cs="Arial" w:eastAsia="Arial" w:hAnsi="Arial"/>
          <w:sz w:val="16"/>
          <w:szCs w:val="16"/>
          <w:color w:val="auto"/>
        </w:rPr>
      </w:pPr>
      <w:r>
        <w:rPr>
          <w:rFonts w:ascii="Arial" w:cs="Arial" w:eastAsia="Arial" w:hAnsi="Arial"/>
          <w:sz w:val="16"/>
          <w:szCs w:val="16"/>
          <w:color w:val="auto"/>
        </w:rPr>
        <w:t>Investments in Unrestricted Subsidiaries having an aggregate fair market value, taken together with all other Investments made after the NXP Measurement Date pursuant to this clause (7) that are at the time outstanding, without giving effect to the sale of an Unrestricted Subsidiary to the extent the proceeds of such sale do not consist of cash or marketable securities, not to exceed 2.0% of Total Assets at the time of such Investment (with the fair market value of each Investment being measured at the time made and without giving effect to subsequent changes in value);</w:t>
      </w:r>
    </w:p>
    <w:p>
      <w:pPr>
        <w:spacing w:after="0" w:line="46" w:lineRule="exact"/>
        <w:rPr>
          <w:rFonts w:ascii="Arial" w:cs="Arial" w:eastAsia="Arial" w:hAnsi="Arial"/>
          <w:sz w:val="16"/>
          <w:szCs w:val="16"/>
          <w:color w:val="auto"/>
        </w:rPr>
      </w:pPr>
    </w:p>
    <w:p>
      <w:pPr>
        <w:ind w:left="460" w:right="120" w:firstLine="443"/>
        <w:spacing w:after="0" w:line="277" w:lineRule="auto"/>
        <w:tabs>
          <w:tab w:leader="none" w:pos="115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repurchases of Equity Interests deemed to occur upon exercise of stock options or warrants if such Equity Interests represent a portion of the exercise price of such options or warrants;</w:t>
      </w:r>
    </w:p>
    <w:p>
      <w:pPr>
        <w:spacing w:after="0" w:line="62" w:lineRule="exact"/>
        <w:rPr>
          <w:rFonts w:ascii="Arial" w:cs="Arial" w:eastAsia="Arial" w:hAnsi="Arial"/>
          <w:sz w:val="18"/>
          <w:szCs w:val="18"/>
          <w:color w:val="auto"/>
        </w:rPr>
      </w:pPr>
    </w:p>
    <w:p>
      <w:pPr>
        <w:ind w:left="460" w:firstLine="443"/>
        <w:spacing w:after="0" w:line="276" w:lineRule="auto"/>
        <w:tabs>
          <w:tab w:leader="none" w:pos="1153"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the declaration and payment of dividends on the Company’s common stock (or the payment of dividends to any direct or indirect parent entity to fund a payment of dividends on such entity’s common stock) following the first public offering of the Company’s common stock or the common stock of any of its direct or indirect parent companies after the NXP Original Issue Date of up to 6.0% per annum of the net cash proceeds received by or contributed to the Company in or from any such public offering, other than public offerings with respect to the Company’s common stock registered on Form S-4 or Form S-8 and other than any public sale constituting an Excluded Contribution;</w:t>
      </w:r>
    </w:p>
    <w:p>
      <w:pPr>
        <w:spacing w:after="0" w:line="64" w:lineRule="exact"/>
        <w:rPr>
          <w:rFonts w:ascii="Arial" w:cs="Arial" w:eastAsia="Arial" w:hAnsi="Arial"/>
          <w:sz w:val="17"/>
          <w:szCs w:val="17"/>
          <w:color w:val="auto"/>
        </w:rPr>
      </w:pPr>
    </w:p>
    <w:p>
      <w:pPr>
        <w:ind w:left="1240" w:hanging="337"/>
        <w:spacing w:after="0"/>
        <w:tabs>
          <w:tab w:leader="none" w:pos="12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23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other Restricted Payments in an aggregate amount taken together with all other Restricted Payments made pursuant to this clause (11) not to exceed $450.0 million;</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distributions or payments of Securitization Fees;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270" w:name="page271"/>
    <w:bookmarkEnd w:id="270"/>
    <w:p>
      <w:pPr>
        <w:ind w:left="420" w:right="540" w:firstLine="443"/>
        <w:spacing w:after="0" w:line="277" w:lineRule="auto"/>
        <w:tabs>
          <w:tab w:leader="none" w:pos="1203" w:val="left"/>
        </w:tabs>
        <w:numPr>
          <w:ilvl w:val="0"/>
          <w:numId w:val="4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Restricted Payment made in connection with the Transaction and the Merger and the fees and expenses related thereto or owed to Affiliates, in each case to the extent permitted by Section 4.11 hereof;</w:t>
      </w:r>
    </w:p>
    <w:p>
      <w:pPr>
        <w:spacing w:after="0" w:line="62" w:lineRule="exact"/>
        <w:rPr>
          <w:rFonts w:ascii="Arial" w:cs="Arial" w:eastAsia="Arial" w:hAnsi="Arial"/>
          <w:sz w:val="18"/>
          <w:szCs w:val="18"/>
          <w:color w:val="auto"/>
        </w:rPr>
      </w:pPr>
    </w:p>
    <w:p>
      <w:pPr>
        <w:ind w:left="420" w:right="140" w:firstLine="443"/>
        <w:spacing w:after="0" w:line="264" w:lineRule="auto"/>
        <w:tabs>
          <w:tab w:leader="none" w:pos="120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repurchase, redemption or other acquisition or retirement for value of any Subordinated Indebtedness pursuant to the provisions similar to those described under Section 4.10 and Section 4.14 hereof; provided that all Notes validly tendered by Holders in connection with a Change of Control Offer or Asset Sale Offer, as applicable, have been repurchased, redeemed or acquired for value;</w:t>
      </w:r>
    </w:p>
    <w:p>
      <w:pPr>
        <w:spacing w:after="0" w:line="73" w:lineRule="exact"/>
        <w:rPr>
          <w:rFonts w:ascii="Arial" w:cs="Arial" w:eastAsia="Arial" w:hAnsi="Arial"/>
          <w:sz w:val="18"/>
          <w:szCs w:val="18"/>
          <w:color w:val="auto"/>
        </w:rPr>
      </w:pPr>
    </w:p>
    <w:p>
      <w:pPr>
        <w:ind w:left="420" w:right="40" w:firstLine="443"/>
        <w:spacing w:after="0" w:line="277" w:lineRule="auto"/>
        <w:tabs>
          <w:tab w:leader="none" w:pos="120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declaration and payment of dividends by the Company to, or the making of loans to, any direct or indirect parent in amounts required for any direct or indirect parent companies to pay, in each case without duplication,</w:t>
      </w:r>
    </w:p>
    <w:p>
      <w:pPr>
        <w:spacing w:after="0" w:line="62" w:lineRule="exact"/>
        <w:rPr>
          <w:rFonts w:ascii="Arial" w:cs="Arial" w:eastAsia="Arial" w:hAnsi="Arial"/>
          <w:sz w:val="18"/>
          <w:szCs w:val="18"/>
          <w:color w:val="auto"/>
        </w:rPr>
      </w:pPr>
    </w:p>
    <w:p>
      <w:pPr>
        <w:ind w:left="1600" w:hanging="299"/>
        <w:spacing w:after="0"/>
        <w:tabs>
          <w:tab w:leader="none" w:pos="16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franchise and excise taxes and other fees, taxes and expenses required to maintain their corporate existence;</w:t>
      </w:r>
    </w:p>
    <w:p>
      <w:pPr>
        <w:spacing w:after="0" w:line="117" w:lineRule="exact"/>
        <w:rPr>
          <w:rFonts w:ascii="Arial" w:cs="Arial" w:eastAsia="Arial" w:hAnsi="Arial"/>
          <w:sz w:val="18"/>
          <w:szCs w:val="18"/>
          <w:color w:val="auto"/>
        </w:rPr>
      </w:pPr>
    </w:p>
    <w:p>
      <w:pPr>
        <w:ind w:left="880" w:right="160" w:firstLine="421"/>
        <w:spacing w:after="0" w:line="273" w:lineRule="auto"/>
        <w:tabs>
          <w:tab w:leader="none" w:pos="1585" w:val="left"/>
        </w:tabs>
        <w:numPr>
          <w:ilvl w:val="1"/>
          <w:numId w:val="430"/>
        </w:numPr>
        <w:rPr>
          <w:rFonts w:ascii="Arial" w:cs="Arial" w:eastAsia="Arial" w:hAnsi="Arial"/>
          <w:sz w:val="17"/>
          <w:szCs w:val="17"/>
          <w:color w:val="auto"/>
        </w:rPr>
      </w:pPr>
      <w:r>
        <w:rPr>
          <w:rFonts w:ascii="Arial" w:cs="Arial" w:eastAsia="Arial" w:hAnsi="Arial"/>
          <w:sz w:val="17"/>
          <w:szCs w:val="17"/>
          <w:color w:val="auto"/>
        </w:rPr>
        <w:t xml:space="preserve">foreign, federal, state and local income taxes, to the extent such income taxes are attributable to the income of the Company and its Restricted Subsidiaries and, to the extent of the amount actually received from its Unrestricted Subsidiaries, in amounts required to pay such taxes to the extent attributable to the income of such Unrestricted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the amount of such payments in any fiscal year does not exceed the amount that the Company and its Restricted Subsidiaries would be required to pay in respect of foreign, federal, state and local taxes for such fiscal year were the Company, its Restricted Subsidiaries and its Unrestricted Subsidiaries (to the extent described above) to pay such taxes separately from any such parent entity;</w:t>
      </w:r>
    </w:p>
    <w:p>
      <w:pPr>
        <w:spacing w:after="0" w:line="70" w:lineRule="exact"/>
        <w:rPr>
          <w:rFonts w:ascii="Arial" w:cs="Arial" w:eastAsia="Arial" w:hAnsi="Arial"/>
          <w:sz w:val="17"/>
          <w:szCs w:val="17"/>
          <w:color w:val="auto"/>
        </w:rPr>
      </w:pPr>
    </w:p>
    <w:p>
      <w:pPr>
        <w:ind w:left="880" w:right="60" w:firstLine="421"/>
        <w:spacing w:after="0" w:line="264" w:lineRule="auto"/>
        <w:tabs>
          <w:tab w:leader="none" w:pos="1585" w:val="left"/>
        </w:tabs>
        <w:numPr>
          <w:ilvl w:val="1"/>
          <w:numId w:val="430"/>
        </w:numPr>
        <w:rPr>
          <w:rFonts w:ascii="Arial" w:cs="Arial" w:eastAsia="Arial" w:hAnsi="Arial"/>
          <w:sz w:val="18"/>
          <w:szCs w:val="18"/>
          <w:color w:val="auto"/>
        </w:rPr>
      </w:pPr>
      <w:r>
        <w:rPr>
          <w:rFonts w:ascii="Arial" w:cs="Arial" w:eastAsia="Arial" w:hAnsi="Arial"/>
          <w:sz w:val="18"/>
          <w:szCs w:val="18"/>
          <w:color w:val="auto"/>
        </w:rPr>
        <w:t>customary salary, bonus and other benefits payable to officers and employees of any direct or indirect parent company of the Company to the extent such salaries, bonuses and other benefits are attributable to the ownership or operation of the Company and its Restricted Subsidiaries;</w:t>
      </w:r>
    </w:p>
    <w:p>
      <w:pPr>
        <w:spacing w:after="0" w:line="73" w:lineRule="exact"/>
        <w:rPr>
          <w:rFonts w:ascii="Arial" w:cs="Arial" w:eastAsia="Arial" w:hAnsi="Arial"/>
          <w:sz w:val="18"/>
          <w:szCs w:val="18"/>
          <w:color w:val="auto"/>
        </w:rPr>
      </w:pPr>
    </w:p>
    <w:p>
      <w:pPr>
        <w:ind w:left="880" w:right="280" w:firstLine="421"/>
        <w:spacing w:after="0" w:line="308" w:lineRule="auto"/>
        <w:tabs>
          <w:tab w:leader="none" w:pos="1595" w:val="left"/>
        </w:tabs>
        <w:numPr>
          <w:ilvl w:val="1"/>
          <w:numId w:val="430"/>
        </w:numPr>
        <w:rPr>
          <w:rFonts w:ascii="Arial" w:cs="Arial" w:eastAsia="Arial" w:hAnsi="Arial"/>
          <w:sz w:val="17"/>
          <w:szCs w:val="17"/>
          <w:color w:val="auto"/>
        </w:rPr>
      </w:pPr>
      <w:r>
        <w:rPr>
          <w:rFonts w:ascii="Arial" w:cs="Arial" w:eastAsia="Arial" w:hAnsi="Arial"/>
          <w:sz w:val="17"/>
          <w:szCs w:val="17"/>
          <w:color w:val="auto"/>
        </w:rPr>
        <w:t>general corporate operating and overhead costs and expenses of any direct or indirect parent company of the Company to the extent such costs and expenses are attributable to the ownership or operation of the Company and its Restricted Subsidiaries; and</w:t>
      </w:r>
    </w:p>
    <w:p>
      <w:pPr>
        <w:spacing w:after="0" w:line="38" w:lineRule="exact"/>
        <w:rPr>
          <w:rFonts w:ascii="Arial" w:cs="Arial" w:eastAsia="Arial" w:hAnsi="Arial"/>
          <w:sz w:val="17"/>
          <w:szCs w:val="17"/>
          <w:color w:val="auto"/>
        </w:rPr>
      </w:pPr>
    </w:p>
    <w:p>
      <w:pPr>
        <w:ind w:left="1580" w:hanging="279"/>
        <w:spacing w:after="0"/>
        <w:tabs>
          <w:tab w:leader="none" w:pos="1580" w:val="left"/>
        </w:tabs>
        <w:numPr>
          <w:ilvl w:val="1"/>
          <w:numId w:val="430"/>
        </w:numPr>
        <w:rPr>
          <w:rFonts w:ascii="Arial" w:cs="Arial" w:eastAsia="Arial" w:hAnsi="Arial"/>
          <w:sz w:val="16"/>
          <w:szCs w:val="16"/>
          <w:color w:val="auto"/>
        </w:rPr>
      </w:pPr>
      <w:r>
        <w:rPr>
          <w:rFonts w:ascii="Arial" w:cs="Arial" w:eastAsia="Arial" w:hAnsi="Arial"/>
          <w:sz w:val="16"/>
          <w:szCs w:val="16"/>
          <w:color w:val="auto"/>
        </w:rPr>
        <w:t>fees and expenses other than to Affiliates of the Company related to any unsuccessful equity or debt offering of such parent entity;</w:t>
      </w:r>
    </w:p>
    <w:p>
      <w:pPr>
        <w:spacing w:after="0" w:line="140" w:lineRule="exact"/>
        <w:rPr>
          <w:rFonts w:ascii="Arial" w:cs="Arial" w:eastAsia="Arial" w:hAnsi="Arial"/>
          <w:sz w:val="16"/>
          <w:szCs w:val="16"/>
          <w:color w:val="auto"/>
        </w:rPr>
      </w:pPr>
    </w:p>
    <w:p>
      <w:pPr>
        <w:ind w:left="420" w:firstLine="443"/>
        <w:spacing w:after="0" w:line="342" w:lineRule="auto"/>
        <w:tabs>
          <w:tab w:leader="none" w:pos="1203"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the distribution, by dividend or otherwise, of shares of Capital Stock of, or Indebtedness owed to the Company or a Restricted Subsidiary by, Unrestricted Subsidiaries (other than Unrestricted Subsidiaries, the primary assets of which are cash and/or Cash Equivalents); and</w:t>
      </w:r>
    </w:p>
    <w:p>
      <w:pPr>
        <w:spacing w:after="0" w:line="16"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color w:val="auto"/>
        </w:rPr>
        <w:t>provided, that at the time of, and after giving effect to, any Restricted Payment permitted under clauses (11) and (16) of this Section 4.07(b), no Default shall have occurred and be continuing or would occur as a consequence thereof.</w:t>
      </w:r>
    </w:p>
    <w:p>
      <w:pPr>
        <w:spacing w:after="0" w:line="170" w:lineRule="exact"/>
        <w:rPr>
          <w:sz w:val="20"/>
          <w:szCs w:val="20"/>
          <w:color w:val="auto"/>
        </w:rPr>
      </w:pPr>
    </w:p>
    <w:p>
      <w:pPr>
        <w:jc w:val="both"/>
        <w:ind w:left="-40" w:right="180" w:firstLine="921"/>
        <w:spacing w:after="0" w:line="259" w:lineRule="auto"/>
        <w:tabs>
          <w:tab w:leader="none" w:pos="111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As of the Merger Date, all of the Company’s Subsidiaries, including Holdings I, Holdings II, Holdings III, Holdings IV, Holdings V and the Issuer, will be Restricted Subsidiaries. The Company shall not permit any Unrestricted Subsidiary to become a Restricted Subsidiary except pursuant to the last sentence of the definition of “Unrestricted Subsidiary.” For purposes of designating any Restricted Subsidiary as an Unrestricted Subsidiary, all outstanding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80" w:top="274" w:right="259" w:bottom="1440" w:gutter="0" w:footer="0" w:header="0"/>
        </w:sectPr>
      </w:pPr>
    </w:p>
    <w:bookmarkStart w:id="271" w:name="page272"/>
    <w:bookmarkEnd w:id="271"/>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by the Company and its Restricted Subsidiaries (except to the extent repaid) in the Subsidiary so designated will be deemed to be Restricted Payments in an amount determined as set forth in the last sentence of the definition of “Investments.” Such designation will be permitted only if a Restricted Payment in such amount would be permitted at such time, whether pursuant to Section 4.07(a) hereof or under clause (7), (10) or (11) of Section 4.07(b) hereof, or pursuant to the definition of “Permitted Investments,” and if such Subsidiary otherwise meets the definition of an Unrestricted Subsidiary. Unrestricted Subsidiaries will not be subject to any of the restrictive covenants set forth in this Indenture.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Dividend and Other Payment Restrictions Affecting Restricted Subsidiaries</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64" w:lineRule="auto"/>
        <w:tabs>
          <w:tab w:leader="none" w:pos="1158" w:val="left"/>
        </w:tabs>
        <w:numPr>
          <w:ilvl w:val="1"/>
          <w:numId w:val="432"/>
        </w:numPr>
        <w:rPr>
          <w:rFonts w:ascii="Arial" w:cs="Arial" w:eastAsia="Arial" w:hAnsi="Arial"/>
          <w:sz w:val="18"/>
          <w:szCs w:val="18"/>
          <w:color w:val="auto"/>
        </w:rPr>
      </w:pPr>
      <w:r>
        <w:rPr>
          <w:rFonts w:ascii="Arial" w:cs="Arial" w:eastAsia="Arial" w:hAnsi="Arial"/>
          <w:sz w:val="18"/>
          <w:szCs w:val="18"/>
          <w:color w:val="auto"/>
        </w:rPr>
        <w:t>The Company shall not, and shall not permit any of its Restricted Subsidiaries that are not Guarantors to, directly or indirectly, create or otherwise cause or suffer to exist or become effective any consensual encumbrance or consensual restriction on the ability of any such Restricted Subsidiary to:</w:t>
      </w:r>
    </w:p>
    <w:p>
      <w:pPr>
        <w:spacing w:after="0" w:line="73"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 pay dividends or make any other distributions to the Company or any of its Restricted Subsidiaries on its Capital Stock or with respect to any other interest or participation in, or measured by, its profits, or</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2"/>
          <w:numId w:val="433"/>
        </w:numPr>
        <w:rPr>
          <w:rFonts w:ascii="Arial" w:cs="Arial" w:eastAsia="Arial" w:hAnsi="Arial"/>
          <w:sz w:val="18"/>
          <w:szCs w:val="18"/>
          <w:color w:val="auto"/>
        </w:rPr>
      </w:pPr>
      <w:r>
        <w:rPr>
          <w:rFonts w:ascii="Arial" w:cs="Arial" w:eastAsia="Arial" w:hAnsi="Arial"/>
          <w:sz w:val="18"/>
          <w:szCs w:val="18"/>
          <w:color w:val="auto"/>
        </w:rPr>
        <w:t>pay any Indebtedness owed to the Company or any of its Restricted Subsidiaries;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make loans or advances to the Company or any of its Restricted Subsidiaries;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Company or any of its Restricted Subsidiaries.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restrictions in Section 4.08(a) hereof shall not apply to encumbrances or restrictions existing under or by reason of:</w:t>
      </w:r>
    </w:p>
    <w:p>
      <w:pPr>
        <w:spacing w:after="0" w:line="117" w:lineRule="exact"/>
        <w:rPr>
          <w:sz w:val="20"/>
          <w:szCs w:val="20"/>
          <w:color w:val="auto"/>
        </w:rPr>
      </w:pPr>
    </w:p>
    <w:p>
      <w:pPr>
        <w:ind w:left="460" w:firstLine="443"/>
        <w:spacing w:after="0" w:line="255" w:lineRule="auto"/>
        <w:tabs>
          <w:tab w:leader="none" w:pos="1153" w:val="left"/>
        </w:tabs>
        <w:numPr>
          <w:ilvl w:val="1"/>
          <w:numId w:val="434"/>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Issue Date or the Merger Date, including, without limitation, pursuant to the Senior Credit Facilities and the related documentation, Hedging Obligations and the indentures governing the Existing Secured Notes and the NXP Notes, and, in each case, the related documentation, including any guarantees, collateral documents, instruments and agreements executed in connection therewith, and any additional Indebtedness of the Company or any Restricted Subsidiary with provisions that are, in the good faith judgment of the Company, no more restrictive with respect to such encumbrances and other restrictions taken as a whole than those in effect on the Issue Date or the Merger Date pursuant to the foregoing;</w:t>
      </w:r>
    </w:p>
    <w:p>
      <w:pPr>
        <w:spacing w:after="0" w:line="85" w:lineRule="exact"/>
        <w:rPr>
          <w:rFonts w:ascii="Arial" w:cs="Arial" w:eastAsia="Arial" w:hAnsi="Arial"/>
          <w:sz w:val="18"/>
          <w:szCs w:val="18"/>
          <w:color w:val="auto"/>
        </w:rPr>
      </w:pPr>
    </w:p>
    <w:p>
      <w:pPr>
        <w:ind w:left="1160" w:hanging="257"/>
        <w:spacing w:after="0"/>
        <w:tabs>
          <w:tab w:leader="none" w:pos="116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this Indenture and the Notes;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434"/>
        </w:numPr>
        <w:rPr>
          <w:rFonts w:ascii="Arial" w:cs="Arial" w:eastAsia="Arial" w:hAnsi="Arial"/>
          <w:sz w:val="16"/>
          <w:szCs w:val="16"/>
          <w:color w:val="auto"/>
        </w:rPr>
      </w:pPr>
      <w:r>
        <w:rPr>
          <w:rFonts w:ascii="Arial" w:cs="Arial" w:eastAsia="Arial" w:hAnsi="Arial"/>
          <w:sz w:val="16"/>
          <w:szCs w:val="16"/>
          <w:color w:val="auto"/>
        </w:rPr>
        <w:t>purchase money obligations for property acquired in the ordinary course of business that impose restrictions of the nature discussed in clause</w:t>
      </w:r>
    </w:p>
    <w:p>
      <w:pPr>
        <w:spacing w:after="0" w:line="46" w:lineRule="exact"/>
        <w:rPr>
          <w:rFonts w:ascii="Arial" w:cs="Arial" w:eastAsia="Arial" w:hAnsi="Arial"/>
          <w:sz w:val="16"/>
          <w:szCs w:val="16"/>
          <w:color w:val="auto"/>
        </w:rPr>
      </w:pPr>
    </w:p>
    <w:p>
      <w:pPr>
        <w:ind w:left="720" w:hanging="256"/>
        <w:spacing w:after="0"/>
        <w:tabs>
          <w:tab w:leader="none" w:pos="7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of Section 4.08(a) hereof on the property so acquired;</w:t>
      </w:r>
    </w:p>
    <w:p>
      <w:pPr>
        <w:spacing w:after="0" w:line="102" w:lineRule="exact"/>
        <w:rPr>
          <w:rFonts w:ascii="Arial" w:cs="Arial" w:eastAsia="Arial" w:hAnsi="Arial"/>
          <w:sz w:val="18"/>
          <w:szCs w:val="18"/>
          <w:color w:val="auto"/>
        </w:rPr>
      </w:pPr>
    </w:p>
    <w:p>
      <w:pPr>
        <w:ind w:left="1160" w:hanging="257"/>
        <w:spacing w:after="0"/>
        <w:tabs>
          <w:tab w:leader="none" w:pos="116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applicable law or any applicable rule, regulation or order;</w:t>
      </w:r>
    </w:p>
    <w:p>
      <w:pPr>
        <w:spacing w:after="0" w:line="117" w:lineRule="exact"/>
        <w:rPr>
          <w:rFonts w:ascii="Arial" w:cs="Arial" w:eastAsia="Arial" w:hAnsi="Arial"/>
          <w:sz w:val="18"/>
          <w:szCs w:val="18"/>
          <w:color w:val="auto"/>
        </w:rPr>
      </w:pPr>
    </w:p>
    <w:p>
      <w:pPr>
        <w:ind w:left="460" w:right="120" w:firstLine="443"/>
        <w:spacing w:after="0" w:line="264" w:lineRule="auto"/>
        <w:tabs>
          <w:tab w:leader="none" w:pos="1153"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Company or any of its Restricted Subsidiaries in existence at the time of such acquisition or at the time it merges or amalgamates with or into the Company or any of its Restricted Subsidiaries or assumed in connection with the acquisition of assets from such Person (but, in any such case,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272" w:name="page273"/>
    <w:bookmarkEnd w:id="272"/>
    <w:p>
      <w:pPr>
        <w:ind w:left="400"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created in contemplation thereof), which encumbrance or restriction is not applicable to any Person, or the properties or assets of any Person, other than the Person and its Subsidiaries, or the property or assets of the Person and its Subsidiaries, so acquired or the property or assets so assumed;</w:t>
      </w:r>
    </w:p>
    <w:p>
      <w:pPr>
        <w:spacing w:after="0" w:line="16" w:lineRule="exact"/>
        <w:rPr>
          <w:sz w:val="20"/>
          <w:szCs w:val="20"/>
          <w:color w:val="auto"/>
        </w:rPr>
      </w:pPr>
    </w:p>
    <w:p>
      <w:pPr>
        <w:ind w:left="400" w:right="220" w:firstLine="443"/>
        <w:spacing w:after="0" w:line="308" w:lineRule="auto"/>
        <w:tabs>
          <w:tab w:leader="none" w:pos="1093" w:val="left"/>
        </w:tabs>
        <w:numPr>
          <w:ilvl w:val="0"/>
          <w:numId w:val="436"/>
        </w:numPr>
        <w:rPr>
          <w:rFonts w:ascii="Arial" w:cs="Arial" w:eastAsia="Arial" w:hAnsi="Arial"/>
          <w:sz w:val="17"/>
          <w:szCs w:val="17"/>
          <w:color w:val="auto"/>
        </w:rPr>
      </w:pPr>
      <w:r>
        <w:rPr>
          <w:rFonts w:ascii="Arial" w:cs="Arial" w:eastAsia="Arial" w:hAnsi="Arial"/>
          <w:sz w:val="17"/>
          <w:szCs w:val="17"/>
          <w:color w:val="auto"/>
        </w:rPr>
        <w:t>contracts for the sale of assets, including customary restrictions with respect to a Subsidiary of the Company pursuant to an agreement that has been entered into for the sale or disposition of all or substantially all of the Capital Stock or assets of such Subsidiary;</w:t>
      </w:r>
    </w:p>
    <w:p>
      <w:pPr>
        <w:spacing w:after="0" w:line="38" w:lineRule="exact"/>
        <w:rPr>
          <w:rFonts w:ascii="Arial" w:cs="Arial" w:eastAsia="Arial" w:hAnsi="Arial"/>
          <w:sz w:val="17"/>
          <w:szCs w:val="17"/>
          <w:color w:val="auto"/>
        </w:rPr>
      </w:pPr>
    </w:p>
    <w:p>
      <w:pPr>
        <w:ind w:left="400" w:right="260" w:firstLine="443"/>
        <w:spacing w:after="0" w:line="277" w:lineRule="auto"/>
        <w:tabs>
          <w:tab w:leader="none" w:pos="109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Secured Indebtedness otherwise permitted to be incurred pursuant to Section 4.09 hereof and Section 4.12 hereof that limit the right of the debtor to dispose of the assets securing such Indebtedness;</w:t>
      </w:r>
    </w:p>
    <w:p>
      <w:pPr>
        <w:spacing w:after="0" w:line="62" w:lineRule="exact"/>
        <w:rPr>
          <w:rFonts w:ascii="Arial" w:cs="Arial" w:eastAsia="Arial" w:hAnsi="Arial"/>
          <w:sz w:val="18"/>
          <w:szCs w:val="18"/>
          <w:color w:val="auto"/>
        </w:rPr>
      </w:pPr>
    </w:p>
    <w:p>
      <w:pPr>
        <w:ind w:left="1100" w:hanging="257"/>
        <w:spacing w:after="0"/>
        <w:tabs>
          <w:tab w:leader="none" w:pos="110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w:t>
      </w:r>
    </w:p>
    <w:p>
      <w:pPr>
        <w:spacing w:after="0" w:line="140" w:lineRule="exact"/>
        <w:rPr>
          <w:rFonts w:ascii="Arial" w:cs="Arial" w:eastAsia="Arial" w:hAnsi="Arial"/>
          <w:sz w:val="16"/>
          <w:szCs w:val="16"/>
          <w:color w:val="auto"/>
        </w:rPr>
      </w:pPr>
    </w:p>
    <w:p>
      <w:pPr>
        <w:ind w:left="400" w:right="440" w:firstLine="443"/>
        <w:spacing w:after="0" w:line="277" w:lineRule="auto"/>
        <w:tabs>
          <w:tab w:leader="none" w:pos="109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other Indebtedness, Disqualified Stock or Preferred Stock of Foreign Subsidiaries permitted to be incurred subsequent to the Issue Date pursuant to the provisions of Section 4.09 hereof;</w:t>
      </w:r>
    </w:p>
    <w:p>
      <w:pPr>
        <w:spacing w:after="0" w:line="62" w:lineRule="exact"/>
        <w:rPr>
          <w:rFonts w:ascii="Arial" w:cs="Arial" w:eastAsia="Arial" w:hAnsi="Arial"/>
          <w:sz w:val="18"/>
          <w:szCs w:val="18"/>
          <w:color w:val="auto"/>
        </w:rPr>
      </w:pPr>
    </w:p>
    <w:p>
      <w:pPr>
        <w:ind w:left="1180" w:hanging="337"/>
        <w:spacing w:after="0"/>
        <w:tabs>
          <w:tab w:leader="none" w:pos="11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customary provisions in joint venture agreements and other similar agreements relating solely to such joint venture;</w:t>
      </w:r>
    </w:p>
    <w:p>
      <w:pPr>
        <w:spacing w:after="0" w:line="117" w:lineRule="exact"/>
        <w:rPr>
          <w:rFonts w:ascii="Arial" w:cs="Arial" w:eastAsia="Arial" w:hAnsi="Arial"/>
          <w:sz w:val="18"/>
          <w:szCs w:val="18"/>
          <w:color w:val="auto"/>
        </w:rPr>
      </w:pPr>
    </w:p>
    <w:p>
      <w:pPr>
        <w:ind w:left="400" w:right="820" w:firstLine="443"/>
        <w:spacing w:after="0" w:line="277" w:lineRule="auto"/>
        <w:tabs>
          <w:tab w:leader="none" w:pos="1176"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customary provisions contained in leases, licenses or similar agreements, including with respect to intellectual property and other agreements, in each case, entered into in the ordinary course of business;</w:t>
      </w:r>
    </w:p>
    <w:p>
      <w:pPr>
        <w:spacing w:after="0" w:line="62" w:lineRule="exact"/>
        <w:rPr>
          <w:rFonts w:ascii="Arial" w:cs="Arial" w:eastAsia="Arial" w:hAnsi="Arial"/>
          <w:sz w:val="18"/>
          <w:szCs w:val="18"/>
          <w:color w:val="auto"/>
        </w:rPr>
      </w:pPr>
    </w:p>
    <w:p>
      <w:pPr>
        <w:ind w:left="400" w:right="240" w:firstLine="443"/>
        <w:spacing w:after="0" w:line="255" w:lineRule="auto"/>
        <w:tabs>
          <w:tab w:leader="none" w:pos="118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of the type referred to in clauses (1), (2) and (3) of Section 4.08(a) hereof imposed by any amendments, modifications, restatements, renewals, increases, supplements, refundings, replacements or refinancings of the contracts, instruments or obligations referred to in clauses (1) through (11) of this Section 4.08(b);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amendments, modifications, restatements, renewals, increases, supplements, refundings, replacements or refinancings are, in the good faith judgment of the Company, no more restrictive with respect to such encumbrance and other restrictions taken as a whole than those prior to such amendment, modification, restatement, renewal, increase, supplement, refunding, replacement or refinancing; and</w:t>
      </w:r>
    </w:p>
    <w:p>
      <w:pPr>
        <w:spacing w:after="0" w:line="85" w:lineRule="exact"/>
        <w:rPr>
          <w:rFonts w:ascii="Arial" w:cs="Arial" w:eastAsia="Arial" w:hAnsi="Arial"/>
          <w:sz w:val="18"/>
          <w:szCs w:val="18"/>
          <w:color w:val="auto"/>
        </w:rPr>
      </w:pPr>
    </w:p>
    <w:p>
      <w:pPr>
        <w:ind w:left="400" w:right="560" w:firstLine="443"/>
        <w:spacing w:after="0" w:line="277" w:lineRule="auto"/>
        <w:tabs>
          <w:tab w:leader="none" w:pos="118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restrictions created in connection with any Qualified Securitization Facility that, in the good faith determination of the Company, are necessary or advisable to effect such Qualified Securitization Facility.</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Limitation on Incurrence of Indebtedness and Issuance of Disqualified Stock and Preferred Stock</w:t>
      </w:r>
      <w:r>
        <w:rPr>
          <w:rFonts w:ascii="Arial" w:cs="Arial" w:eastAsia="Arial" w:hAnsi="Arial"/>
          <w:sz w:val="18"/>
          <w:szCs w:val="18"/>
          <w:color w:val="auto"/>
        </w:rPr>
        <w:t>.</w:t>
      </w:r>
    </w:p>
    <w:p>
      <w:pPr>
        <w:spacing w:after="0" w:line="117" w:lineRule="exact"/>
        <w:rPr>
          <w:sz w:val="20"/>
          <w:szCs w:val="20"/>
          <w:color w:val="auto"/>
        </w:rPr>
      </w:pPr>
    </w:p>
    <w:p>
      <w:pPr>
        <w:ind w:left="-60" w:firstLine="921"/>
        <w:spacing w:after="0" w:line="291" w:lineRule="auto"/>
        <w:tabs>
          <w:tab w:leader="none" w:pos="1098" w:val="left"/>
        </w:tabs>
        <w:numPr>
          <w:ilvl w:val="0"/>
          <w:numId w:val="437"/>
        </w:numPr>
        <w:rPr>
          <w:rFonts w:ascii="Arial" w:cs="Arial" w:eastAsia="Arial" w:hAnsi="Arial"/>
          <w:sz w:val="16"/>
          <w:szCs w:val="16"/>
          <w:color w:val="auto"/>
        </w:rPr>
      </w:pPr>
      <w:r>
        <w:rPr>
          <w:rFonts w:ascii="Arial" w:cs="Arial" w:eastAsia="Arial" w:hAnsi="Arial"/>
          <w:sz w:val="16"/>
          <w:szCs w:val="16"/>
          <w:color w:val="auto"/>
        </w:rPr>
        <w:t>The Company shall not, and shall not permit any of its Restricted Subsidiaries to, directly or indirectly, create, incur, issue, assume, guarantee or otherwise become directly or indirectly liable, contingently or otherwise (collectively, “</w:t>
      </w:r>
      <w:r>
        <w:rPr>
          <w:rFonts w:ascii="Arial" w:cs="Arial" w:eastAsia="Arial" w:hAnsi="Arial"/>
          <w:sz w:val="16"/>
          <w:szCs w:val="16"/>
          <w:u w:val="single" w:color="auto"/>
          <w:color w:val="auto"/>
        </w:rPr>
        <w:t>incur</w:t>
      </w:r>
      <w:r>
        <w:rPr>
          <w:rFonts w:ascii="Arial" w:cs="Arial" w:eastAsia="Arial" w:hAnsi="Arial"/>
          <w:sz w:val="16"/>
          <w:szCs w:val="16"/>
          <w:color w:val="auto"/>
        </w:rPr>
        <w:t>” and collectively, an “</w:t>
      </w:r>
      <w:r>
        <w:rPr>
          <w:rFonts w:ascii="Arial" w:cs="Arial" w:eastAsia="Arial" w:hAnsi="Arial"/>
          <w:sz w:val="16"/>
          <w:szCs w:val="16"/>
          <w:u w:val="single" w:color="auto"/>
          <w:color w:val="auto"/>
        </w:rPr>
        <w:t>incurrence</w:t>
      </w:r>
      <w:r>
        <w:rPr>
          <w:rFonts w:ascii="Arial" w:cs="Arial" w:eastAsia="Arial" w:hAnsi="Arial"/>
          <w:sz w:val="16"/>
          <w:szCs w:val="16"/>
          <w:color w:val="auto"/>
        </w:rPr>
        <w:t xml:space="preserve">”) with respect to any Indebtedness (including Acquired Indebtedness) and the Company will not issue any shares of Disqualified Stock and will not permit any Restricted Subsidiary to issue any shares of Disqualified Stock or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may incur Indebtedness (including Acquired Indebtedness) or issue shares of Disqualified Stock, and, subject to Section 4.09(c) hereof, any Restricted Subsidiary may incur Indebtedness (including Acquired Indebtedness), issue shares of Disqualified Stock and issue shares of Preferred Stock, if the Fixed Charge Coverage Ratio on a consolidated basis for the Company and its Restricted Subsidiaries’ most recently ended four fiscal quarters for which internal financial statements are available immediately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300" w:top="274" w:right="299" w:bottom="1440" w:gutter="0" w:footer="0" w:header="0"/>
        </w:sectPr>
      </w:pPr>
    </w:p>
    <w:bookmarkStart w:id="273" w:name="page274"/>
    <w:bookmarkEnd w:id="27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preceding the date on which such additional Indebtedness is incurred or such Disqualified Stock or Preferred Stock is issued would have been at least 2.00 to 1.00 (the “</w:t>
      </w:r>
      <w:r>
        <w:rPr>
          <w:rFonts w:ascii="Arial" w:cs="Arial" w:eastAsia="Arial" w:hAnsi="Arial"/>
          <w:sz w:val="18"/>
          <w:szCs w:val="18"/>
          <w:u w:val="single" w:color="auto"/>
          <w:color w:val="auto"/>
        </w:rPr>
        <w:t>Fixed Charge Coverage Test</w:t>
      </w:r>
      <w:r>
        <w:rPr>
          <w:rFonts w:ascii="Arial" w:cs="Arial" w:eastAsia="Arial" w:hAnsi="Arial"/>
          <w:sz w:val="18"/>
          <w:szCs w:val="18"/>
          <w:color w:val="auto"/>
        </w:rPr>
        <w:t xml:space="preserve">”), determined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(including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The provisions of Section 4.09(a) hereof shall not apply to:</w:t>
      </w:r>
    </w:p>
    <w:p>
      <w:pPr>
        <w:spacing w:after="0" w:line="117" w:lineRule="exact"/>
        <w:rPr>
          <w:sz w:val="20"/>
          <w:szCs w:val="20"/>
          <w:color w:val="auto"/>
        </w:rPr>
      </w:pPr>
    </w:p>
    <w:p>
      <w:pPr>
        <w:ind w:left="460" w:firstLine="443"/>
        <w:spacing w:after="0" w:line="272" w:lineRule="auto"/>
        <w:tabs>
          <w:tab w:leader="none" w:pos="1153" w:val="left"/>
        </w:tabs>
        <w:numPr>
          <w:ilvl w:val="0"/>
          <w:numId w:val="438"/>
        </w:numPr>
        <w:rPr>
          <w:rFonts w:ascii="Arial" w:cs="Arial" w:eastAsia="Arial" w:hAnsi="Arial"/>
          <w:sz w:val="17"/>
          <w:szCs w:val="17"/>
          <w:color w:val="auto"/>
        </w:rPr>
      </w:pPr>
      <w:r>
        <w:rPr>
          <w:rFonts w:ascii="Arial" w:cs="Arial" w:eastAsia="Arial" w:hAnsi="Arial"/>
          <w:sz w:val="17"/>
          <w:szCs w:val="17"/>
          <w:color w:val="auto"/>
        </w:rPr>
        <w:t>the incurrence of Indebtedness under Credit Facilities by the Company, the Issuer or any other Restricted Subsidiary and the issuance and creation of letters of credit and bankers’ acceptances thereunder (with letters of credit and bankers’ acceptances being deemed to have a principal amount equal to the face amount thereof), and any Refinancing Indebtedness in respect thereof and Guarantees in respect of such Indebtedness, up to an aggregate principal amount outstanding at any one time, when taken together with the aggregate principal amount (or, if issued with original issue discount, the accreted value) of Existing Secured Notes, the NXP Notes and Notes then outstanding, of (i) $5,250.0 million, plus (ii) €750.0 million, plus (iii) in the case of any refinancing of any Indebtedness permitted under this clause (1) or any portion thereof, the aggregate amount of fees, underwriting discounts, premiums and other costs and expenses Incurred in connection with such refinancing;</w:t>
      </w:r>
    </w:p>
    <w:p>
      <w:pPr>
        <w:spacing w:after="0" w:line="69" w:lineRule="exact"/>
        <w:rPr>
          <w:rFonts w:ascii="Arial" w:cs="Arial" w:eastAsia="Arial" w:hAnsi="Arial"/>
          <w:sz w:val="17"/>
          <w:szCs w:val="17"/>
          <w:color w:val="auto"/>
        </w:rPr>
      </w:pPr>
    </w:p>
    <w:p>
      <w:pPr>
        <w:ind w:left="460" w:right="100" w:firstLine="443"/>
        <w:spacing w:after="0" w:line="277" w:lineRule="auto"/>
        <w:tabs>
          <w:tab w:leader="none" w:pos="1153"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incurrence by the Issuer and any Guarantor of Indebtedness represented by the Notes (not including any Additional Notes), including any Guarantee of the Notes;</w:t>
      </w:r>
    </w:p>
    <w:p>
      <w:pPr>
        <w:spacing w:after="0" w:line="62" w:lineRule="exact"/>
        <w:rPr>
          <w:rFonts w:ascii="Arial" w:cs="Arial" w:eastAsia="Arial" w:hAnsi="Arial"/>
          <w:sz w:val="18"/>
          <w:szCs w:val="18"/>
          <w:color w:val="auto"/>
        </w:rPr>
      </w:pPr>
    </w:p>
    <w:p>
      <w:pPr>
        <w:ind w:left="460" w:right="320" w:firstLine="443"/>
        <w:spacing w:after="0" w:line="277" w:lineRule="auto"/>
        <w:tabs>
          <w:tab w:leader="none" w:pos="1153"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Indebtedness of the Company, the Issuer and their Subsidiaries in existence on the Issue Date or the Merger Date (other than Indebtedness described in clauses (1) and (2) of this Section 4.09(b));</w:t>
      </w:r>
    </w:p>
    <w:p>
      <w:pPr>
        <w:spacing w:after="0" w:line="62" w:lineRule="exact"/>
        <w:rPr>
          <w:rFonts w:ascii="Arial" w:cs="Arial" w:eastAsia="Arial" w:hAnsi="Arial"/>
          <w:sz w:val="18"/>
          <w:szCs w:val="18"/>
          <w:color w:val="auto"/>
        </w:rPr>
      </w:pPr>
    </w:p>
    <w:p>
      <w:pPr>
        <w:ind w:left="460" w:right="300" w:firstLine="443"/>
        <w:spacing w:after="0" w:line="273" w:lineRule="auto"/>
        <w:tabs>
          <w:tab w:leader="none" w:pos="1153" w:val="left"/>
        </w:tabs>
        <w:numPr>
          <w:ilvl w:val="0"/>
          <w:numId w:val="438"/>
        </w:numPr>
        <w:rPr>
          <w:rFonts w:ascii="Arial" w:cs="Arial" w:eastAsia="Arial" w:hAnsi="Arial"/>
          <w:sz w:val="17"/>
          <w:szCs w:val="17"/>
          <w:color w:val="auto"/>
        </w:rPr>
      </w:pPr>
      <w:r>
        <w:rPr>
          <w:rFonts w:ascii="Arial" w:cs="Arial" w:eastAsia="Arial" w:hAnsi="Arial"/>
          <w:sz w:val="17"/>
          <w:szCs w:val="17"/>
          <w:color w:val="auto"/>
        </w:rPr>
        <w:t>Indebtedness (including Capitalized Lease Obligations), Disqualified Stock and Preferred Stock incurred by the Company or any of its Restricted Subsidiaries, to finance the purchase, lease or improvement of property (real or personal) or equipment that is used or useful in a Similar Business, whether through the direct purchase of assets or the Capital Stock of any Person owning such assets in an aggregate principal amount, together with any Refinancing Indebtedness in respect thereof and all other Indebtedness, Disqualified Stock and/or Preferred Stock issued and outstanding under this clause (4), not to exceed 4.0% of Total Assets at any time outstanding; so long as such Indebtedness exists at the date of such purchase, lease or improvement or is created within 270 days thereafter;</w:t>
      </w:r>
    </w:p>
    <w:p>
      <w:pPr>
        <w:spacing w:after="0" w:line="70" w:lineRule="exact"/>
        <w:rPr>
          <w:rFonts w:ascii="Arial" w:cs="Arial" w:eastAsia="Arial" w:hAnsi="Arial"/>
          <w:sz w:val="17"/>
          <w:szCs w:val="17"/>
          <w:color w:val="auto"/>
        </w:rPr>
      </w:pPr>
    </w:p>
    <w:p>
      <w:pPr>
        <w:ind w:left="460" w:right="180" w:firstLine="443"/>
        <w:spacing w:after="0" w:line="279" w:lineRule="auto"/>
        <w:tabs>
          <w:tab w:leader="none" w:pos="1153" w:val="left"/>
        </w:tabs>
        <w:numPr>
          <w:ilvl w:val="0"/>
          <w:numId w:val="438"/>
        </w:numPr>
        <w:rPr>
          <w:rFonts w:ascii="Arial" w:cs="Arial" w:eastAsia="Arial" w:hAnsi="Arial"/>
          <w:sz w:val="17"/>
          <w:szCs w:val="17"/>
          <w:color w:val="auto"/>
        </w:rPr>
      </w:pPr>
      <w:r>
        <w:rPr>
          <w:rFonts w:ascii="Arial" w:cs="Arial" w:eastAsia="Arial" w:hAnsi="Arial"/>
          <w:sz w:val="17"/>
          <w:szCs w:val="17"/>
          <w:color w:val="auto"/>
        </w:rPr>
        <w:t xml:space="preserve">Indebtedness incurred by the Company or any of its Restricted Subsidiaries constituting reimbursement obligations with respect to letters of credit issued in the ordinary course of business, including letters of credit in respect of workers’ compensation claims, or other Indebtedness with respect to reimbursement type obligations regarding workers’ compensation claims; </w:t>
      </w:r>
      <w:r>
        <w:rPr>
          <w:rFonts w:ascii="Arial" w:cs="Arial" w:eastAsia="Arial" w:hAnsi="Arial"/>
          <w:sz w:val="17"/>
          <w:szCs w:val="17"/>
          <w:u w:val="single" w:color="auto"/>
          <w:color w:val="auto"/>
        </w:rPr>
        <w:t>provided</w:t>
      </w:r>
      <w:r>
        <w:rPr>
          <w:rFonts w:ascii="Arial" w:cs="Arial" w:eastAsia="Arial" w:hAnsi="Arial"/>
          <w:sz w:val="17"/>
          <w:szCs w:val="17"/>
          <w:color w:val="auto"/>
        </w:rPr>
        <w:t>, that upon the drawing of such letters of credit or the incurrence of such Indebtedness, such obligations are reimbursed within 30 days following such drawing or incurrence;</w:t>
      </w:r>
    </w:p>
    <w:p>
      <w:pPr>
        <w:spacing w:after="0" w:line="63" w:lineRule="exact"/>
        <w:rPr>
          <w:rFonts w:ascii="Arial" w:cs="Arial" w:eastAsia="Arial" w:hAnsi="Arial"/>
          <w:sz w:val="17"/>
          <w:szCs w:val="17"/>
          <w:color w:val="auto"/>
        </w:rPr>
      </w:pPr>
    </w:p>
    <w:p>
      <w:pPr>
        <w:ind w:left="460" w:firstLine="443"/>
        <w:spacing w:after="0" w:line="259" w:lineRule="auto"/>
        <w:tabs>
          <w:tab w:leader="none" w:pos="1153"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Indebtedness arising from agreements of the Company or its Restricted Subsidiaries providing for indemnification, adjustment of purchase price, earnouts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274" w:name="page275"/>
    <w:bookmarkEnd w:id="274"/>
    <w:p>
      <w:pPr>
        <w:ind w:left="460" w:right="320" w:firstLine="421"/>
        <w:spacing w:after="0" w:line="264" w:lineRule="auto"/>
        <w:tabs>
          <w:tab w:leader="none" w:pos="1175" w:val="left"/>
        </w:tabs>
        <w:numPr>
          <w:ilvl w:val="1"/>
          <w:numId w:val="4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Indebtedness is not reflected on the balance sheet of the Company or any of its Restricted Subsidiaries (contingent obligations referred to in a footnote to financial statements and not otherwise reflected on the balance sheet will not be deemed to be reflected on such balance sheet for purposes of this clause (6)(a)); and</w:t>
      </w:r>
    </w:p>
    <w:p>
      <w:pPr>
        <w:spacing w:after="0" w:line="73" w:lineRule="exact"/>
        <w:rPr>
          <w:rFonts w:ascii="Arial" w:cs="Arial" w:eastAsia="Arial" w:hAnsi="Arial"/>
          <w:sz w:val="18"/>
          <w:szCs w:val="18"/>
          <w:color w:val="auto"/>
        </w:rPr>
      </w:pPr>
    </w:p>
    <w:p>
      <w:pPr>
        <w:ind w:left="460" w:right="380" w:firstLine="421"/>
        <w:spacing w:after="0" w:line="312" w:lineRule="auto"/>
        <w:tabs>
          <w:tab w:leader="none" w:pos="1165" w:val="left"/>
        </w:tabs>
        <w:numPr>
          <w:ilvl w:val="1"/>
          <w:numId w:val="439"/>
        </w:numPr>
        <w:rPr>
          <w:rFonts w:ascii="Arial" w:cs="Arial" w:eastAsia="Arial" w:hAnsi="Arial"/>
          <w:sz w:val="16"/>
          <w:szCs w:val="16"/>
          <w:color w:val="auto"/>
        </w:rPr>
      </w:pPr>
      <w:r>
        <w:rPr>
          <w:rFonts w:ascii="Arial" w:cs="Arial" w:eastAsia="Arial" w:hAnsi="Arial"/>
          <w:sz w:val="16"/>
          <w:szCs w:val="16"/>
          <w:color w:val="auto"/>
        </w:rPr>
        <w:t>the maximum assumable liability in respect of all such Indebtedness shall at no time exceed the gross proceeds including non-cash proceeds (the fair market value of such non-cash proceeds being measured at the time received and without giving effect to any subsequent changes in value) actually received by the Company and its Restricted Subsidiaries in connection with such disposition;</w:t>
      </w:r>
    </w:p>
    <w:p>
      <w:pPr>
        <w:spacing w:after="0" w:line="38" w:lineRule="exact"/>
        <w:rPr>
          <w:rFonts w:ascii="Arial" w:cs="Arial" w:eastAsia="Arial" w:hAnsi="Arial"/>
          <w:sz w:val="16"/>
          <w:szCs w:val="16"/>
          <w:color w:val="auto"/>
        </w:rPr>
      </w:pPr>
    </w:p>
    <w:p>
      <w:pPr>
        <w:ind w:firstLine="443"/>
        <w:spacing w:after="0" w:line="257" w:lineRule="auto"/>
        <w:tabs>
          <w:tab w:leader="none" w:pos="693"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Indebtedness of the Company to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owing to a Restricted Subsidiary that is not a Guarantor (other than the Issuer) is expressly subordinated in right of payment to the Notes;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subsequent issuance or transfer of any Capital Stock or any other event which results in any Restricted Subsidiary ceasing to be a Restricted Subsidiary or any other subsequent transfer of any such Indebtedness (except to the Company or another Restricted Subsidiary) shall be deemed, in each case, to be an incurrence of such Indebtedness;</w:t>
      </w:r>
    </w:p>
    <w:p>
      <w:pPr>
        <w:spacing w:after="0" w:line="80" w:lineRule="exact"/>
        <w:rPr>
          <w:rFonts w:ascii="Arial" w:cs="Arial" w:eastAsia="Arial" w:hAnsi="Arial"/>
          <w:sz w:val="18"/>
          <w:szCs w:val="18"/>
          <w:color w:val="auto"/>
        </w:rPr>
      </w:pPr>
    </w:p>
    <w:p>
      <w:pPr>
        <w:ind w:right="120" w:firstLine="443"/>
        <w:spacing w:after="0" w:line="279" w:lineRule="auto"/>
        <w:tabs>
          <w:tab w:leader="none" w:pos="693" w:val="left"/>
        </w:tabs>
        <w:numPr>
          <w:ilvl w:val="0"/>
          <w:numId w:val="440"/>
        </w:numPr>
        <w:rPr>
          <w:rFonts w:ascii="Arial" w:cs="Arial" w:eastAsia="Arial" w:hAnsi="Arial"/>
          <w:sz w:val="17"/>
          <w:szCs w:val="17"/>
          <w:color w:val="auto"/>
        </w:rPr>
      </w:pPr>
      <w:r>
        <w:rPr>
          <w:rFonts w:ascii="Arial" w:cs="Arial" w:eastAsia="Arial" w:hAnsi="Arial"/>
          <w:sz w:val="17"/>
          <w:szCs w:val="17"/>
          <w:color w:val="auto"/>
        </w:rPr>
        <w:t xml:space="preserve">Indebtedness of a Restricted Subsidiary to the Company or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Guarantor incurs such Indebtedness to a Restricted Subsidiary that is not a Guarantor (other than the Issuer), such Indebtedness is expressly subordinated in right of payment to the Guarantee of the Notes of such Guarantor;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subsequent transfer of any such Indebtedness (except to the Company or another Restricted Subsidiary) shall be deemed, in each case, to be an incurrence of such Indebtedness;</w:t>
      </w:r>
    </w:p>
    <w:p>
      <w:pPr>
        <w:spacing w:after="0" w:line="63" w:lineRule="exact"/>
        <w:rPr>
          <w:rFonts w:ascii="Arial" w:cs="Arial" w:eastAsia="Arial" w:hAnsi="Arial"/>
          <w:sz w:val="17"/>
          <w:szCs w:val="17"/>
          <w:color w:val="auto"/>
        </w:rPr>
      </w:pPr>
    </w:p>
    <w:p>
      <w:pPr>
        <w:ind w:right="20" w:firstLine="443"/>
        <w:spacing w:after="0" w:line="259" w:lineRule="auto"/>
        <w:tabs>
          <w:tab w:leader="none" w:pos="693"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shares of Preferred Stock of a Restricted Subsidiary issued to the Company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the Company or another of its Restricted Subsidiaries) shall be deemed in each case to be an issuance of such shares of Preferred Stock;</w:t>
      </w:r>
    </w:p>
    <w:p>
      <w:pPr>
        <w:spacing w:after="0" w:line="78" w:lineRule="exact"/>
        <w:rPr>
          <w:rFonts w:ascii="Arial" w:cs="Arial" w:eastAsia="Arial" w:hAnsi="Arial"/>
          <w:sz w:val="18"/>
          <w:szCs w:val="18"/>
          <w:color w:val="auto"/>
        </w:rPr>
      </w:pPr>
    </w:p>
    <w:p>
      <w:pPr>
        <w:ind w:right="20" w:firstLine="443"/>
        <w:spacing w:after="0" w:line="308" w:lineRule="auto"/>
        <w:tabs>
          <w:tab w:leader="none" w:pos="783" w:val="left"/>
        </w:tabs>
        <w:numPr>
          <w:ilvl w:val="0"/>
          <w:numId w:val="440"/>
        </w:numPr>
        <w:rPr>
          <w:rFonts w:ascii="Arial" w:cs="Arial" w:eastAsia="Arial" w:hAnsi="Arial"/>
          <w:sz w:val="17"/>
          <w:szCs w:val="17"/>
          <w:color w:val="auto"/>
        </w:rPr>
      </w:pPr>
      <w:r>
        <w:rPr>
          <w:rFonts w:ascii="Arial" w:cs="Arial" w:eastAsia="Arial" w:hAnsi="Arial"/>
          <w:sz w:val="17"/>
          <w:szCs w:val="17"/>
          <w:color w:val="auto"/>
        </w:rPr>
        <w:t>Hedging Obligations (excluding Hedging Obligations entered into for speculative purposes) for the purpose of limiting interest rate risk with respect to any Indebtedness permitted to be incurred pursuant to this Section 4.09, exchange rate risk or commodity pricing risk;</w:t>
      </w:r>
    </w:p>
    <w:p>
      <w:pPr>
        <w:spacing w:after="0" w:line="38" w:lineRule="exact"/>
        <w:rPr>
          <w:rFonts w:ascii="Arial" w:cs="Arial" w:eastAsia="Arial" w:hAnsi="Arial"/>
          <w:sz w:val="17"/>
          <w:szCs w:val="17"/>
          <w:color w:val="auto"/>
        </w:rPr>
      </w:pPr>
    </w:p>
    <w:p>
      <w:pPr>
        <w:ind w:right="520" w:firstLine="443"/>
        <w:spacing w:after="0" w:line="277" w:lineRule="auto"/>
        <w:tabs>
          <w:tab w:leader="none" w:pos="77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obligations in respect of performance, bid, appeal and surety bonds and completion guarantees provided by the Company or any of its Restricted Subsidiaries in the ordinary course of business;</w:t>
      </w:r>
    </w:p>
    <w:p>
      <w:pPr>
        <w:spacing w:after="0" w:line="62" w:lineRule="exact"/>
        <w:rPr>
          <w:rFonts w:ascii="Arial" w:cs="Arial" w:eastAsia="Arial" w:hAnsi="Arial"/>
          <w:sz w:val="18"/>
          <w:szCs w:val="18"/>
          <w:color w:val="auto"/>
        </w:rPr>
      </w:pPr>
    </w:p>
    <w:p>
      <w:pPr>
        <w:ind w:right="40" w:firstLine="443"/>
        <w:spacing w:after="0" w:line="271" w:lineRule="auto"/>
        <w:tabs>
          <w:tab w:leader="none" w:pos="783" w:val="left"/>
        </w:tabs>
        <w:numPr>
          <w:ilvl w:val="0"/>
          <w:numId w:val="440"/>
        </w:numPr>
        <w:rPr>
          <w:rFonts w:ascii="Arial" w:cs="Arial" w:eastAsia="Arial" w:hAnsi="Arial"/>
          <w:sz w:val="17"/>
          <w:szCs w:val="17"/>
          <w:color w:val="auto"/>
        </w:rPr>
      </w:pPr>
      <w:r>
        <w:rPr>
          <w:rFonts w:ascii="Arial" w:cs="Arial" w:eastAsia="Arial" w:hAnsi="Arial"/>
          <w:sz w:val="17"/>
          <w:szCs w:val="17"/>
          <w:color w:val="auto"/>
        </w:rPr>
        <w:t>(a) Indebtedness or Disqualified Stock of the Company and Indebtedness, Disqualified Stock or Preferred Stock of the Company or any Restricted Subsidiary equal to 200.0% of the net cash proceeds received by the Company since immediately after the Transaction Date from the issue or sale of Equity Interests of the Company or any of its direct or indirect parent companies or cash contributed to the capital of the Company (in each case, other than proceeds of Disqualified Stock or sales of Equity Interests to the Company or any of its Subsidiaries) as determined in accordance with clauses (3)(B) and (3)(C) of Section 4.07(a) hereof to the extent such net cash proceeds or cash have not been applied pursuant to such clauses to make Restricted Payments or to make other Investments, payments or exchanges pursuant to Section 4.07(b) hereof or to make Permitted Investments (other than Permitted Investments specified in clauses (1) and (3) of the definition thereof) and (b) Indebtedness or Disqualified Stock of the Company and Indebtedness, Disqualified Stock or</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700" w:top="274" w:right="259" w:bottom="1440" w:gutter="0" w:footer="0" w:header="0"/>
        </w:sectPr>
      </w:pPr>
    </w:p>
    <w:bookmarkStart w:id="275" w:name="page276"/>
    <w:bookmarkEnd w:id="2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Preferred Stock of the Company or, subject to Section 4.09(c) hereof, any Restricted Subsidiary not otherwise permitted hereunder in an aggregate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or liquidation preference, which when aggregated with the principal amount and liquidation preference of all other Indebtedness,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Disqualified Stock and Preferred Stock then outstanding and incurred pursuant to this clause (12)(b), does not at any one time outstanding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$900.0 million (it being understood that any Indebtedness, Disqualified Stock or Preferred Stock incurred pursuant to this clause (12)(b) shall cease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deemed incurred or outstanding for purposes of this clause (12)(b) but shall be deemed incurred for the purposes of Section 4.09 (a) hereof from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first date on which the Company or such Restricted Subsidiary could have incurred such Indebtedness, Disqualified Stock or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Section 4.09(a) hereof without reliance on this clause (12) (b));</w:t>
      </w:r>
    </w:p>
    <w:p>
      <w:pPr>
        <w:spacing w:after="0" w:line="103" w:lineRule="exact"/>
        <w:rPr>
          <w:sz w:val="20"/>
          <w:szCs w:val="20"/>
          <w:color w:val="auto"/>
        </w:rPr>
      </w:pPr>
    </w:p>
    <w:p>
      <w:pPr>
        <w:ind w:right="40" w:firstLine="443"/>
        <w:spacing w:after="0" w:line="273" w:lineRule="auto"/>
        <w:tabs>
          <w:tab w:leader="none" w:pos="78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incurrence by the Company or any Restricted Subsidiary, of Indebtedness, Disqualified Stock or Preferred Stock which serves to refund or refinance any Indebtedness, Disqualified Stock or Preferred Stock incurred as permitted under Section 4.09(a) hereof and clauses (2), (3), (4) and (12)(a) of this Section 4.09(b), this clause (13) and clause (14) of this Section 4.09(b) or any Indebtedness, Disqualified Stock or Preferred Stock issued to so refund or refinance such Indebtedness, Disqualified Stock or Preferred Stock including additional Indebtedness, Disqualified Stock or Preferred Stock incurred to pay premiums (including reasonable tender premiums), defeasance costs and fees in connection therewith (the “</w:t>
      </w:r>
      <w:r>
        <w:rPr>
          <w:rFonts w:ascii="Arial" w:cs="Arial" w:eastAsia="Arial" w:hAnsi="Arial"/>
          <w:sz w:val="17"/>
          <w:szCs w:val="17"/>
          <w:u w:val="single" w:color="auto"/>
          <w:color w:val="auto"/>
        </w:rPr>
        <w:t>Refinancing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prior to its respective maturity; </w:t>
      </w:r>
      <w:r>
        <w:rPr>
          <w:rFonts w:ascii="Arial" w:cs="Arial" w:eastAsia="Arial" w:hAnsi="Arial"/>
          <w:sz w:val="17"/>
          <w:szCs w:val="17"/>
          <w:u w:val="single" w:color="auto"/>
          <w:color w:val="auto"/>
        </w:rPr>
        <w:t>provided</w:t>
      </w:r>
      <w:r>
        <w:rPr>
          <w:rFonts w:ascii="Arial" w:cs="Arial" w:eastAsia="Arial" w:hAnsi="Arial"/>
          <w:sz w:val="17"/>
          <w:szCs w:val="17"/>
          <w:color w:val="auto"/>
        </w:rPr>
        <w:t>, that such Refinancing Indebtedness:</w:t>
      </w:r>
    </w:p>
    <w:p>
      <w:pPr>
        <w:spacing w:after="0" w:line="70" w:lineRule="exact"/>
        <w:rPr>
          <w:rFonts w:ascii="Arial" w:cs="Arial" w:eastAsia="Arial" w:hAnsi="Arial"/>
          <w:sz w:val="17"/>
          <w:szCs w:val="17"/>
          <w:color w:val="auto"/>
        </w:rPr>
      </w:pPr>
    </w:p>
    <w:p>
      <w:pPr>
        <w:ind w:left="460" w:right="300" w:firstLine="421"/>
        <w:spacing w:after="0" w:line="308" w:lineRule="auto"/>
        <w:tabs>
          <w:tab w:leader="none" w:pos="1175" w:val="left"/>
        </w:tabs>
        <w:numPr>
          <w:ilvl w:val="1"/>
          <w:numId w:val="441"/>
        </w:numPr>
        <w:rPr>
          <w:rFonts w:ascii="Arial" w:cs="Arial" w:eastAsia="Arial" w:hAnsi="Arial"/>
          <w:sz w:val="17"/>
          <w:szCs w:val="17"/>
          <w:color w:val="auto"/>
        </w:rPr>
      </w:pPr>
      <w:r>
        <w:rPr>
          <w:rFonts w:ascii="Arial" w:cs="Arial" w:eastAsia="Arial" w:hAnsi="Arial"/>
          <w:sz w:val="17"/>
          <w:szCs w:val="17"/>
          <w:color w:val="auto"/>
        </w:rPr>
        <w:t>has a Weighted Average Life to Maturity at the time such Refinancing Indebtedness is incurred which is not less than the remaining Weighted Average Life to Maturity of, the Indebtedness, Disqualified Stock or Preferred Stock being refunded or refinanced,</w:t>
      </w:r>
    </w:p>
    <w:p>
      <w:pPr>
        <w:spacing w:after="0" w:line="38" w:lineRule="exact"/>
        <w:rPr>
          <w:rFonts w:ascii="Arial" w:cs="Arial" w:eastAsia="Arial" w:hAnsi="Arial"/>
          <w:sz w:val="17"/>
          <w:szCs w:val="17"/>
          <w:color w:val="auto"/>
        </w:rPr>
      </w:pPr>
    </w:p>
    <w:p>
      <w:pPr>
        <w:ind w:left="460" w:right="60" w:firstLine="421"/>
        <w:spacing w:after="0" w:line="259" w:lineRule="auto"/>
        <w:tabs>
          <w:tab w:leader="none" w:pos="1165" w:val="left"/>
        </w:tabs>
        <w:numPr>
          <w:ilvl w:val="1"/>
          <w:numId w:val="441"/>
        </w:numPr>
        <w:rPr>
          <w:rFonts w:ascii="Arial" w:cs="Arial" w:eastAsia="Arial" w:hAnsi="Arial"/>
          <w:sz w:val="18"/>
          <w:szCs w:val="18"/>
          <w:color w:val="auto"/>
        </w:rPr>
      </w:pPr>
      <w:r>
        <w:rPr>
          <w:rFonts w:ascii="Arial" w:cs="Arial" w:eastAsia="Arial" w:hAnsi="Arial"/>
          <w:sz w:val="18"/>
          <w:szCs w:val="18"/>
          <w:color w:val="auto"/>
        </w:rPr>
        <w:t xml:space="preserve">to the extent such Refinancing Indebtedness refinances (i) Indebtedness subordinated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to the Notes or any Guarantee thereof, such Refinancing Indebtedness is subordinated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to the Notes or the Guarantee at least to the same extent as the Indebtedness being refinanced or refunded or (ii) Disqualified Stock or Preferred Stock, such Refinancing Indebtedness must be Disqualified Stock or Preferred Stock, respectively,</w:t>
      </w:r>
    </w:p>
    <w:p>
      <w:pPr>
        <w:spacing w:after="0" w:line="78" w:lineRule="exact"/>
        <w:rPr>
          <w:rFonts w:ascii="Arial" w:cs="Arial" w:eastAsia="Arial" w:hAnsi="Arial"/>
          <w:sz w:val="18"/>
          <w:szCs w:val="18"/>
          <w:color w:val="auto"/>
        </w:rPr>
      </w:pPr>
    </w:p>
    <w:p>
      <w:pPr>
        <w:ind w:left="460" w:firstLine="421"/>
        <w:spacing w:after="0" w:line="271" w:lineRule="auto"/>
        <w:tabs>
          <w:tab w:leader="none" w:pos="1165" w:val="left"/>
        </w:tabs>
        <w:numPr>
          <w:ilvl w:val="1"/>
          <w:numId w:val="441"/>
        </w:numPr>
        <w:rPr>
          <w:rFonts w:ascii="Arial" w:cs="Arial" w:eastAsia="Arial" w:hAnsi="Arial"/>
          <w:sz w:val="17"/>
          <w:szCs w:val="17"/>
          <w:color w:val="auto"/>
        </w:rPr>
      </w:pPr>
      <w:r>
        <w:rPr>
          <w:rFonts w:ascii="Arial" w:cs="Arial" w:eastAsia="Arial" w:hAnsi="Arial"/>
          <w:sz w:val="17"/>
          <w:szCs w:val="17"/>
          <w:color w:val="auto"/>
        </w:rPr>
        <w:t>in the case of any Refinancing Indebtedness in respect of Indebtedness under the Senior Credit Facilities, the Notes, the NXP Notes or the Existing Secured Notes, or Refinancing Indebtedness of any of the foregoing, such Refinancing Indebtedness shall not be required to be incurred substantially contemporaneously with the related refinancing of the Senior Credit Facilities, such Notes, NXP Notes or Existing Secured Note, or Refinancing Indebtedness of any of the foregoing, as applicable; provided that any portion of the net proceeds of such Refinancing Indebtedness that is not applied to the repayment or prepayment of the Senior Credit Facilities, such Notes, NXP Notes or Existing Secured Note, or Refinancing Indebtedness of any of the foregoing, as applicable, within 45 days following the incurrence of such Refinancing Indebtedness shall not constitute Refinancing Indebtedness in respect of the Senior Credit Facilities, such Notes, NXP Notes or Existing Secured Note, or Refinancing Indebtedness of any of the foregoing, as applicable, and</w:t>
      </w:r>
    </w:p>
    <w:p>
      <w:pPr>
        <w:spacing w:after="0" w:line="70" w:lineRule="exact"/>
        <w:rPr>
          <w:rFonts w:ascii="Arial" w:cs="Arial" w:eastAsia="Arial" w:hAnsi="Arial"/>
          <w:sz w:val="17"/>
          <w:szCs w:val="17"/>
          <w:color w:val="auto"/>
        </w:rPr>
      </w:pPr>
    </w:p>
    <w:p>
      <w:pPr>
        <w:ind w:left="1180" w:hanging="299"/>
        <w:spacing w:after="0"/>
        <w:tabs>
          <w:tab w:leader="none" w:pos="118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shall not include:</w:t>
      </w:r>
    </w:p>
    <w:p>
      <w:pPr>
        <w:spacing w:after="0" w:line="117" w:lineRule="exact"/>
        <w:rPr>
          <w:sz w:val="20"/>
          <w:szCs w:val="20"/>
          <w:color w:val="auto"/>
        </w:rPr>
      </w:pPr>
    </w:p>
    <w:p>
      <w:pPr>
        <w:ind w:left="460" w:right="180" w:firstLine="421"/>
        <w:spacing w:after="0" w:line="277" w:lineRule="auto"/>
        <w:tabs>
          <w:tab w:leader="none" w:pos="109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Subsidiary of the Company that is not a Guarantor (other than the Issuer) that refinances Indebtedness, Disqualified Stock or Preferred Stock of the Company or the Issuer;</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700" w:top="274" w:right="239" w:bottom="1440" w:gutter="0" w:footer="0" w:header="0"/>
        </w:sectPr>
      </w:pPr>
    </w:p>
    <w:bookmarkStart w:id="276" w:name="page277"/>
    <w:bookmarkEnd w:id="276"/>
    <w:p>
      <w:pPr>
        <w:ind w:left="460" w:right="120" w:firstLine="421"/>
        <w:spacing w:after="0" w:line="277" w:lineRule="auto"/>
        <w:tabs>
          <w:tab w:leader="none" w:pos="1145" w:val="left"/>
        </w:tabs>
        <w:numPr>
          <w:ilvl w:val="0"/>
          <w:numId w:val="4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Disqualified Stock or Preferred Stock of a Subsidiary of the Company that is not a Guarantor (other than the Issuer) that refinances Indebtedness, Disqualified Stock or Preferred Stock of a Guarantor or the Issuer; or</w:t>
      </w:r>
    </w:p>
    <w:p>
      <w:pPr>
        <w:spacing w:after="0" w:line="62" w:lineRule="exact"/>
        <w:rPr>
          <w:rFonts w:ascii="Arial" w:cs="Arial" w:eastAsia="Arial" w:hAnsi="Arial"/>
          <w:sz w:val="18"/>
          <w:szCs w:val="18"/>
          <w:color w:val="auto"/>
        </w:rPr>
      </w:pPr>
    </w:p>
    <w:p>
      <w:pPr>
        <w:ind w:left="460" w:right="760" w:firstLine="421"/>
        <w:spacing w:after="0" w:line="277" w:lineRule="auto"/>
        <w:tabs>
          <w:tab w:leader="none" w:pos="119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the Company or a Restricted Subsidiary that refinances Indebtedness, Disqualified Stock or Preferred Stock of an Unrestricted Subsidiary;</w:t>
      </w:r>
    </w:p>
    <w:p>
      <w:pPr>
        <w:spacing w:after="0" w:line="62" w:lineRule="exact"/>
        <w:rPr>
          <w:sz w:val="20"/>
          <w:szCs w:val="20"/>
          <w:color w:val="auto"/>
        </w:rPr>
      </w:pPr>
    </w:p>
    <w:p>
      <w:pPr>
        <w:ind w:right="340" w:firstLine="443"/>
        <w:spacing w:after="0" w:line="259" w:lineRule="auto"/>
        <w:tabs>
          <w:tab w:leader="none" w:pos="78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Indebtedness, Disqualified Stock or Preferred Stock of (x) the Company or, subject to Section 4.09(c) hereof, a Restricted Subsidiary incurred to finance an acquisition or (y) Persons that are acquired by the Company or any Restricted Subsidiary or merged or amalgamated into the Company or a Restricted Subsidiary in accordance with the terms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acquisition, merger or amalgamation either</w:t>
      </w:r>
    </w:p>
    <w:p>
      <w:pPr>
        <w:spacing w:after="0" w:line="78" w:lineRule="exact"/>
        <w:rPr>
          <w:rFonts w:ascii="Arial" w:cs="Arial" w:eastAsia="Arial" w:hAnsi="Arial"/>
          <w:sz w:val="18"/>
          <w:szCs w:val="18"/>
          <w:color w:val="auto"/>
        </w:rPr>
      </w:pPr>
    </w:p>
    <w:p>
      <w:pPr>
        <w:ind w:left="460" w:right="360" w:firstLine="421"/>
        <w:spacing w:after="0" w:line="277" w:lineRule="auto"/>
        <w:tabs>
          <w:tab w:leader="none" w:pos="1175"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Company would be permitted to incur at least $1.00 of additional Indebtedness pursuant to the Fixed Charge Coverage Test set forth in Section 4.09(a) hereof, or</w:t>
      </w:r>
    </w:p>
    <w:p>
      <w:pPr>
        <w:spacing w:after="0" w:line="62" w:lineRule="exact"/>
        <w:rPr>
          <w:rFonts w:ascii="Arial" w:cs="Arial" w:eastAsia="Arial" w:hAnsi="Arial"/>
          <w:sz w:val="18"/>
          <w:szCs w:val="18"/>
          <w:color w:val="auto"/>
        </w:rPr>
      </w:pPr>
    </w:p>
    <w:p>
      <w:pPr>
        <w:ind w:left="460" w:right="120" w:firstLine="421"/>
        <w:spacing w:after="0" w:line="277" w:lineRule="auto"/>
        <w:tabs>
          <w:tab w:leader="none" w:pos="1165"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Fixed Charge Coverage Ratio of the Company and the Restricted Subsidiaries is equal to or greater than immediately prior to such acquisition, merger or amalgamation;</w:t>
      </w:r>
    </w:p>
    <w:p>
      <w:pPr>
        <w:spacing w:after="0" w:line="62" w:lineRule="exact"/>
        <w:rPr>
          <w:rFonts w:ascii="Arial" w:cs="Arial" w:eastAsia="Arial" w:hAnsi="Arial"/>
          <w:sz w:val="18"/>
          <w:szCs w:val="18"/>
          <w:color w:val="auto"/>
        </w:rPr>
      </w:pPr>
    </w:p>
    <w:p>
      <w:pPr>
        <w:ind w:right="480" w:firstLine="443"/>
        <w:spacing w:after="0" w:line="342" w:lineRule="auto"/>
        <w:tabs>
          <w:tab w:leader="none" w:pos="783"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extinguished within five Business Days of its incurrence;</w:t>
      </w:r>
    </w:p>
    <w:p>
      <w:pPr>
        <w:spacing w:after="0" w:line="15" w:lineRule="exact"/>
        <w:rPr>
          <w:rFonts w:ascii="Arial" w:cs="Arial" w:eastAsia="Arial" w:hAnsi="Arial"/>
          <w:sz w:val="16"/>
          <w:szCs w:val="16"/>
          <w:color w:val="auto"/>
        </w:rPr>
      </w:pPr>
    </w:p>
    <w:p>
      <w:pPr>
        <w:ind w:right="60" w:firstLine="443"/>
        <w:spacing w:after="0" w:line="277" w:lineRule="auto"/>
        <w:tabs>
          <w:tab w:leader="none" w:pos="78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Indebtedness of the Company or any of its Restricted Subsidiaries supported by a letter of credit issued pursuant to the Credit Facilities, in a principal amount not in excess of the stated amount of such letter of credit;</w:t>
      </w:r>
    </w:p>
    <w:p>
      <w:pPr>
        <w:spacing w:after="0" w:line="62" w:lineRule="exact"/>
        <w:rPr>
          <w:rFonts w:ascii="Arial" w:cs="Arial" w:eastAsia="Arial" w:hAnsi="Arial"/>
          <w:sz w:val="18"/>
          <w:szCs w:val="18"/>
          <w:color w:val="auto"/>
        </w:rPr>
      </w:pPr>
    </w:p>
    <w:p>
      <w:pPr>
        <w:ind w:right="220" w:firstLine="443"/>
        <w:spacing w:after="0" w:line="308" w:lineRule="auto"/>
        <w:tabs>
          <w:tab w:leader="none" w:pos="783" w:val="left"/>
        </w:tabs>
        <w:numPr>
          <w:ilvl w:val="0"/>
          <w:numId w:val="444"/>
        </w:numPr>
        <w:rPr>
          <w:rFonts w:ascii="Arial" w:cs="Arial" w:eastAsia="Arial" w:hAnsi="Arial"/>
          <w:sz w:val="17"/>
          <w:szCs w:val="17"/>
          <w:color w:val="auto"/>
        </w:rPr>
      </w:pPr>
      <w:r>
        <w:rPr>
          <w:rFonts w:ascii="Arial" w:cs="Arial" w:eastAsia="Arial" w:hAnsi="Arial"/>
          <w:sz w:val="17"/>
          <w:szCs w:val="17"/>
          <w:color w:val="auto"/>
        </w:rPr>
        <w:t>(A) any guarantee by the Company or a Restricted Subsidiary of Indebtedness or other obligations of any Restricted Subsidiary so long as the incurrence of such Indebtedness incurred by such Restricted Subsidiary is permitted under the terms of this Indenture, or</w:t>
      </w:r>
    </w:p>
    <w:p>
      <w:pPr>
        <w:spacing w:after="0" w:line="38" w:lineRule="exact"/>
        <w:rPr>
          <w:rFonts w:ascii="Arial" w:cs="Arial" w:eastAsia="Arial" w:hAnsi="Arial"/>
          <w:sz w:val="17"/>
          <w:szCs w:val="17"/>
          <w:color w:val="auto"/>
        </w:rPr>
      </w:pPr>
    </w:p>
    <w:p>
      <w:pPr>
        <w:ind w:left="460" w:right="340" w:firstLine="421"/>
        <w:spacing w:after="0" w:line="277" w:lineRule="auto"/>
        <w:tabs>
          <w:tab w:leader="none" w:pos="1165" w:val="left"/>
        </w:tabs>
        <w:numPr>
          <w:ilvl w:val="1"/>
          <w:numId w:val="445"/>
        </w:numPr>
        <w:rPr>
          <w:rFonts w:ascii="Arial" w:cs="Arial" w:eastAsia="Arial" w:hAnsi="Arial"/>
          <w:sz w:val="18"/>
          <w:szCs w:val="18"/>
          <w:color w:val="auto"/>
        </w:rPr>
      </w:pPr>
      <w:r>
        <w:rPr>
          <w:rFonts w:ascii="Arial" w:cs="Arial" w:eastAsia="Arial" w:hAnsi="Arial"/>
          <w:sz w:val="18"/>
          <w:szCs w:val="18"/>
          <w:color w:val="auto"/>
        </w:rPr>
        <w:t xml:space="preserve">any guarantee by a Restricted Subsidiary of Indebtedness of the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guarantee is incurred in accordance with Section 4.15 hereof;</w:t>
      </w:r>
    </w:p>
    <w:p>
      <w:pPr>
        <w:spacing w:after="0" w:line="62" w:lineRule="exact"/>
        <w:rPr>
          <w:rFonts w:ascii="Arial" w:cs="Arial" w:eastAsia="Arial" w:hAnsi="Arial"/>
          <w:sz w:val="18"/>
          <w:szCs w:val="18"/>
          <w:color w:val="auto"/>
        </w:rPr>
      </w:pPr>
    </w:p>
    <w:p>
      <w:pPr>
        <w:ind w:right="40" w:firstLine="443"/>
        <w:spacing w:after="0" w:line="312" w:lineRule="auto"/>
        <w:tabs>
          <w:tab w:leader="none" w:pos="783" w:val="left"/>
        </w:tabs>
        <w:numPr>
          <w:ilvl w:val="0"/>
          <w:numId w:val="446"/>
        </w:numPr>
        <w:rPr>
          <w:rFonts w:ascii="Arial" w:cs="Arial" w:eastAsia="Arial" w:hAnsi="Arial"/>
          <w:sz w:val="16"/>
          <w:szCs w:val="16"/>
          <w:color w:val="auto"/>
        </w:rPr>
      </w:pPr>
      <w:r>
        <w:rPr>
          <w:rFonts w:ascii="Arial" w:cs="Arial" w:eastAsia="Arial" w:hAnsi="Arial"/>
          <w:sz w:val="16"/>
          <w:szCs w:val="16"/>
          <w:color w:val="auto"/>
        </w:rPr>
        <w:t>Indebtedness consisting of Indebtedness issued by the Company or any of its Restricted Subsidiaries to current or former officers, directors and employees thereof, their respective estates, spouses or former spouses, in each case to finance the purchase or redemption of Equity Interests of the Company or any direct or indirect parent company of the Company to the extent described in clause (4) of Section 4.07(b) hereof.</w:t>
      </w:r>
    </w:p>
    <w:p>
      <w:pPr>
        <w:spacing w:after="0" w:line="38" w:lineRule="exact"/>
        <w:rPr>
          <w:rFonts w:ascii="Arial" w:cs="Arial" w:eastAsia="Arial" w:hAnsi="Arial"/>
          <w:sz w:val="16"/>
          <w:szCs w:val="16"/>
          <w:color w:val="auto"/>
        </w:rPr>
      </w:pPr>
    </w:p>
    <w:p>
      <w:pPr>
        <w:ind w:right="280" w:firstLine="443"/>
        <w:spacing w:after="0" w:line="277" w:lineRule="auto"/>
        <w:tabs>
          <w:tab w:leader="none" w:pos="783"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purchased in the ordinary course of business;</w:t>
      </w:r>
    </w:p>
    <w:p>
      <w:pPr>
        <w:spacing w:after="0" w:line="62" w:lineRule="exact"/>
        <w:rPr>
          <w:rFonts w:ascii="Arial" w:cs="Arial" w:eastAsia="Arial" w:hAnsi="Arial"/>
          <w:sz w:val="18"/>
          <w:szCs w:val="18"/>
          <w:color w:val="auto"/>
        </w:rPr>
      </w:pPr>
    </w:p>
    <w:p>
      <w:pPr>
        <w:ind w:firstLine="443"/>
        <w:spacing w:after="0" w:line="264" w:lineRule="auto"/>
        <w:tabs>
          <w:tab w:leader="none" w:pos="783"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Indebtedness owed on a short-term basis of no longer than 30 days to banks and other financial institutions incurred in the ordinary course of business of the Company and its Restricted Subsidiaries with such banks or financial institutions that arises in connection with ordinary banking arrangements to manage cash balances of the Company and its Restricted Subsidiaries;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40"/>
          </w:cols>
          <w:pgMar w:left="700" w:top="274" w:right="259" w:bottom="1440" w:gutter="0" w:footer="0" w:header="0"/>
        </w:sectPr>
      </w:pPr>
    </w:p>
    <w:bookmarkStart w:id="277" w:name="page278"/>
    <w:bookmarkEnd w:id="277"/>
    <w:p>
      <w:pPr>
        <w:ind w:left="460" w:firstLine="443"/>
        <w:spacing w:after="0" w:line="264" w:lineRule="auto"/>
        <w:tabs>
          <w:tab w:leader="none" w:pos="1243" w:val="left"/>
        </w:tabs>
        <w:numPr>
          <w:ilvl w:val="0"/>
          <w:numId w:val="4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recourse basis; and</w:t>
      </w:r>
    </w:p>
    <w:p>
      <w:pPr>
        <w:spacing w:after="0" w:line="73" w:lineRule="exact"/>
        <w:rPr>
          <w:rFonts w:ascii="Arial" w:cs="Arial" w:eastAsia="Arial" w:hAnsi="Arial"/>
          <w:sz w:val="18"/>
          <w:szCs w:val="18"/>
          <w:color w:val="auto"/>
        </w:rPr>
      </w:pPr>
    </w:p>
    <w:p>
      <w:pPr>
        <w:ind w:left="460" w:right="200" w:firstLine="443"/>
        <w:spacing w:after="0" w:line="277" w:lineRule="auto"/>
        <w:tabs>
          <w:tab w:leader="none" w:pos="1243"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Indebtedness of the Company or any of its Restricted Subsidiaries consisting of (i) the financing of insurance premiums or (ii) take-or-pay obligations contained in supply arrangements in each case, incurred in the ordinary course of business.</w:t>
      </w:r>
    </w:p>
    <w:p>
      <w:pPr>
        <w:spacing w:after="0" w:line="170" w:lineRule="exact"/>
        <w:rPr>
          <w:sz w:val="20"/>
          <w:szCs w:val="20"/>
          <w:color w:val="auto"/>
        </w:rPr>
      </w:pPr>
    </w:p>
    <w:p>
      <w:pPr>
        <w:ind w:right="40" w:firstLine="921"/>
        <w:spacing w:after="0" w:line="257" w:lineRule="auto"/>
        <w:tabs>
          <w:tab w:leader="none" w:pos="115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 xml:space="preserve">Restricted Subsidiaries of the Company that are not Guarantors (other than the Issuer) may not incur Indebtedness or Disqualified Stock or Preferred Stock under Section 4.09(a) hereof or clause 12(b) or 14(x) of Section 4.09(b) hereof if, after giving pro </w:t>
      </w:r>
      <w:r>
        <w:rPr>
          <w:rFonts w:ascii="Arial" w:cs="Arial" w:eastAsia="Arial" w:hAnsi="Arial"/>
          <w:sz w:val="18"/>
          <w:szCs w:val="18"/>
          <w:u w:val="single" w:color="auto"/>
          <w:color w:val="auto"/>
        </w:rPr>
        <w:t>forma</w:t>
      </w:r>
      <w:r>
        <w:rPr>
          <w:rFonts w:ascii="Arial" w:cs="Arial" w:eastAsia="Arial" w:hAnsi="Arial"/>
          <w:sz w:val="18"/>
          <w:szCs w:val="18"/>
          <w:color w:val="auto"/>
        </w:rPr>
        <w:t xml:space="preserve"> effect to such incurrence or issuance (including a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forma application of the net proceeds therefrom), the aggregate amount of Indebtedness and Disqualified Stock and Preferred Stock of Restricted Subsidiaries that are not Guarantors (other than the Issuer) incurred or issued pursuant to Section 4.09(a) hereof and clauses 12(b) and 14(x) of Section 4.09(b) hereof, collectively, would exceed $1,250.0 million.</w:t>
      </w:r>
    </w:p>
    <w:p>
      <w:pPr>
        <w:spacing w:after="0" w:line="188" w:lineRule="exact"/>
        <w:rPr>
          <w:rFonts w:ascii="Arial" w:cs="Arial" w:eastAsia="Arial" w:hAnsi="Arial"/>
          <w:sz w:val="18"/>
          <w:szCs w:val="18"/>
          <w:color w:val="auto"/>
        </w:rPr>
      </w:pPr>
    </w:p>
    <w:p>
      <w:pPr>
        <w:ind w:left="1180" w:hanging="259"/>
        <w:spacing w:after="0"/>
        <w:tabs>
          <w:tab w:leader="none" w:pos="11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For purposes of determining compliance with this Section 4.09:</w:t>
      </w:r>
    </w:p>
    <w:p>
      <w:pPr>
        <w:spacing w:after="0" w:line="117" w:lineRule="exact"/>
        <w:rPr>
          <w:rFonts w:ascii="Arial" w:cs="Arial" w:eastAsia="Arial" w:hAnsi="Arial"/>
          <w:sz w:val="18"/>
          <w:szCs w:val="18"/>
          <w:color w:val="auto"/>
        </w:rPr>
      </w:pPr>
    </w:p>
    <w:p>
      <w:pPr>
        <w:ind w:left="460" w:right="40" w:firstLine="443"/>
        <w:spacing w:after="0" w:line="293" w:lineRule="auto"/>
        <w:tabs>
          <w:tab w:leader="none" w:pos="1153" w:val="left"/>
        </w:tabs>
        <w:numPr>
          <w:ilvl w:val="0"/>
          <w:numId w:val="449"/>
        </w:numPr>
        <w:rPr>
          <w:rFonts w:ascii="Arial" w:cs="Arial" w:eastAsia="Arial" w:hAnsi="Arial"/>
          <w:sz w:val="16"/>
          <w:szCs w:val="16"/>
          <w:color w:val="auto"/>
        </w:rPr>
      </w:pPr>
      <w:r>
        <w:rPr>
          <w:rFonts w:ascii="Arial" w:cs="Arial" w:eastAsia="Arial" w:hAnsi="Arial"/>
          <w:sz w:val="16"/>
          <w:szCs w:val="16"/>
          <w:color w:val="auto"/>
        </w:rPr>
        <w:t xml:space="preserve">in the event that an item of Indebtedness, Disqualified Stock or Preferred Stock (or any portion thereof) meets the criteria of more than one of the categories of Permitted Indebtedness, Disqualified Stock or Preferred Stock described in clauses (1) through (22) of Section 4.09(b) hereof or is entitled to be incurred pursuant to Section 4.09(a) hereof, the Company, in its sole discretion, will classify or reclassify such item of Indebtedness, Disqualified Stock or Preferred Stock (or any portion thereof) and will only be required to include the amount and type of such Indebtedness, Disqualified Stock or Preferred Stock in one of the above clauses or under Section 4.09(a)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Indebtedness outstanding under the Senior Credit Facilities on the Merger Date will be treated as incurred on the Merger Date under clause (1) of Section 4.09(b) hereof; and</w:t>
      </w:r>
    </w:p>
    <w:p>
      <w:pPr>
        <w:spacing w:after="0" w:line="56" w:lineRule="exact"/>
        <w:rPr>
          <w:rFonts w:ascii="Arial" w:cs="Arial" w:eastAsia="Arial" w:hAnsi="Arial"/>
          <w:sz w:val="16"/>
          <w:szCs w:val="16"/>
          <w:color w:val="auto"/>
        </w:rPr>
      </w:pPr>
    </w:p>
    <w:p>
      <w:pPr>
        <w:ind w:left="460" w:right="620" w:firstLine="443"/>
        <w:spacing w:after="0" w:line="277" w:lineRule="auto"/>
        <w:tabs>
          <w:tab w:leader="none" w:pos="1153"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at the time of incurrence, the Company will be entitled to divide and classify an item of Indebtedness in more than one of the types of Indebtedness described in Section 4.09(a) and Section 4.09(b) hereof.</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Accrual of interest or dividends, the accretion of accreted value, the accretion or amortization of original issue discount and the payment of interest or dividends in the form of additional Indebtedness, Disqualified Stock or Preferred Stock, as the case may be, of the same class will not be deemed to be an incurrence of Indebtedness, Disqualified Stock or Preferred Stock for purposes of this Section 4.09.</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incurred to refinance other Indebtedness denominated in a foreign currency, and such refinancing would cause the applicable U.S. dollar 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w:t>
      </w:r>
    </w:p>
    <w:p>
      <w:pPr>
        <w:spacing w:after="0" w:line="189"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278" w:name="page279"/>
    <w:bookmarkEnd w:id="278"/>
    <w:p>
      <w:pPr>
        <w:ind w:right="20" w:firstLine="91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the Company shall not, and shall not permit any Guarantor or the Issuer to, directly or indirectly, incur any Indebtedness (including Acquired Indebtedness) that is subordinated or junior in right of payment to any Indebtedness of the Company, such Guarantor or the Issuer, as the case may be, unless such Indebtedness is expressly subordinated in right of payment to the Notes or the Company’s or such Guarantor’s Guarantee to the extent and in the same manner as such Indebtedness is subordinated to other Indebtedness of the Company, such Guarantor or the Issuer, as the case may be. For the purposes of this Indenture, Indebtedness that is unsecured is not deemed to be subordinated or junior to Secured Indebtedness merely because it is unsecured, and Senior Indebtedness is not deemed to be subordinated or junior to any other Senior Indebtedness merely because it has a junior priority with respect to the same collateral.</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Asset Sales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The Company shall not, and shall not permit any of its Restricted Subsidiaries to, cause, make or suffer to exist an Asset Sale, unless:</w:t>
      </w:r>
    </w:p>
    <w:p>
      <w:pPr>
        <w:spacing w:after="0" w:line="237" w:lineRule="exact"/>
        <w:rPr>
          <w:sz w:val="20"/>
          <w:szCs w:val="20"/>
          <w:color w:val="auto"/>
        </w:rPr>
      </w:pPr>
    </w:p>
    <w:p>
      <w:pPr>
        <w:ind w:right="100" w:firstLine="921"/>
        <w:spacing w:after="0" w:line="277" w:lineRule="auto"/>
        <w:tabs>
          <w:tab w:leader="none" w:pos="1168"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or such Restricted Subsidiary, as the case may be, receives consideration at the time of such Asset Sale at least equal to the fair market value of the assets sold or otherwise disposed of; and</w:t>
      </w:r>
    </w:p>
    <w:p>
      <w:pPr>
        <w:spacing w:after="0" w:line="170" w:lineRule="exact"/>
        <w:rPr>
          <w:rFonts w:ascii="Arial" w:cs="Arial" w:eastAsia="Arial" w:hAnsi="Arial"/>
          <w:sz w:val="18"/>
          <w:szCs w:val="18"/>
          <w:color w:val="auto"/>
        </w:rPr>
      </w:pPr>
    </w:p>
    <w:p>
      <w:pPr>
        <w:ind w:right="720" w:firstLine="921"/>
        <w:spacing w:after="0" w:line="277" w:lineRule="auto"/>
        <w:tabs>
          <w:tab w:leader="none" w:pos="1168"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xml:space="preserve">except in the case of a Permitted Asset Swap, at least 75% of the consideration therefor received by the Company or such Restricted Subsidiary, as the case may be, is in the form of cash or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w:t>
      </w:r>
    </w:p>
    <w:p>
      <w:pPr>
        <w:spacing w:after="0" w:line="62" w:lineRule="exact"/>
        <w:rPr>
          <w:rFonts w:ascii="Arial" w:cs="Arial" w:eastAsia="Arial" w:hAnsi="Arial"/>
          <w:sz w:val="18"/>
          <w:szCs w:val="18"/>
          <w:color w:val="auto"/>
        </w:rPr>
      </w:pPr>
    </w:p>
    <w:p>
      <w:pPr>
        <w:jc w:val="both"/>
        <w:ind w:left="920" w:right="80" w:firstLine="421"/>
        <w:spacing w:after="0" w:line="312" w:lineRule="auto"/>
        <w:tabs>
          <w:tab w:leader="none" w:pos="1635" w:val="left"/>
        </w:tabs>
        <w:numPr>
          <w:ilvl w:val="1"/>
          <w:numId w:val="450"/>
        </w:numPr>
        <w:rPr>
          <w:rFonts w:ascii="Arial" w:cs="Arial" w:eastAsia="Arial" w:hAnsi="Arial"/>
          <w:sz w:val="16"/>
          <w:szCs w:val="16"/>
          <w:color w:val="auto"/>
        </w:rPr>
      </w:pPr>
      <w:r>
        <w:rPr>
          <w:rFonts w:ascii="Arial" w:cs="Arial" w:eastAsia="Arial" w:hAnsi="Arial"/>
          <w:sz w:val="16"/>
          <w:szCs w:val="16"/>
          <w:color w:val="auto"/>
        </w:rPr>
        <w:t>any liabilities (as shown on the Company’s or such Restricted Subsidiary’s most recent balance sheet or in the footnotes thereto) of the Company or such Restricted Subsidiary, other than liabilities that are by their terms subordinated to the Notes, that are assumed by the transferee of any such assets and for which the Company and all of its Restricted Subsidiaries have been validly released by all creditors in writing,</w:t>
      </w:r>
    </w:p>
    <w:p>
      <w:pPr>
        <w:spacing w:after="0" w:line="38" w:lineRule="exact"/>
        <w:rPr>
          <w:rFonts w:ascii="Arial" w:cs="Arial" w:eastAsia="Arial" w:hAnsi="Arial"/>
          <w:sz w:val="16"/>
          <w:szCs w:val="16"/>
          <w:color w:val="auto"/>
        </w:rPr>
      </w:pPr>
    </w:p>
    <w:p>
      <w:pPr>
        <w:ind w:left="920" w:right="100" w:firstLine="421"/>
        <w:spacing w:after="0" w:line="308" w:lineRule="auto"/>
        <w:tabs>
          <w:tab w:leader="none" w:pos="1625" w:val="left"/>
        </w:tabs>
        <w:numPr>
          <w:ilvl w:val="1"/>
          <w:numId w:val="450"/>
        </w:numPr>
        <w:rPr>
          <w:rFonts w:ascii="Arial" w:cs="Arial" w:eastAsia="Arial" w:hAnsi="Arial"/>
          <w:sz w:val="17"/>
          <w:szCs w:val="17"/>
          <w:color w:val="auto"/>
        </w:rPr>
      </w:pPr>
      <w:r>
        <w:rPr>
          <w:rFonts w:ascii="Arial" w:cs="Arial" w:eastAsia="Arial" w:hAnsi="Arial"/>
          <w:sz w:val="17"/>
          <w:szCs w:val="17"/>
          <w:color w:val="auto"/>
        </w:rPr>
        <w:t>any securities received by the Company or such Restricted Subsidiary from such transferee that are converted by the Company or such Restricted Subsidiary into cash (to the extent of the cash received) within 180 days following the closing of such Asset Sale, and</w:t>
      </w:r>
    </w:p>
    <w:p>
      <w:pPr>
        <w:spacing w:after="0" w:line="38" w:lineRule="exact"/>
        <w:rPr>
          <w:rFonts w:ascii="Arial" w:cs="Arial" w:eastAsia="Arial" w:hAnsi="Arial"/>
          <w:sz w:val="17"/>
          <w:szCs w:val="17"/>
          <w:color w:val="auto"/>
        </w:rPr>
      </w:pPr>
    </w:p>
    <w:p>
      <w:pPr>
        <w:ind w:left="920" w:firstLine="421"/>
        <w:spacing w:after="0" w:line="257" w:lineRule="auto"/>
        <w:tabs>
          <w:tab w:leader="none" w:pos="1625" w:val="left"/>
        </w:tabs>
        <w:numPr>
          <w:ilvl w:val="1"/>
          <w:numId w:val="450"/>
        </w:numPr>
        <w:rPr>
          <w:rFonts w:ascii="Arial" w:cs="Arial" w:eastAsia="Arial" w:hAnsi="Arial"/>
          <w:sz w:val="18"/>
          <w:szCs w:val="18"/>
          <w:color w:val="auto"/>
        </w:rPr>
      </w:pPr>
      <w:r>
        <w:rPr>
          <w:rFonts w:ascii="Arial" w:cs="Arial" w:eastAsia="Arial" w:hAnsi="Arial"/>
          <w:sz w:val="18"/>
          <w:szCs w:val="18"/>
          <w:color w:val="auto"/>
        </w:rPr>
        <w:t>any Designated Non-cash Consideration received by the Company or such Restricted Subsidiary in such Asset Sale having an aggregate fair market value, taken together with all other Designated Non-cash Consideration received pursuant to this clause (c) that is at that time outstanding, not to exceed 2.5% of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shall be deemed to be cash for purposes of this provision and for no other purpose.</w:t>
      </w:r>
    </w:p>
    <w:p>
      <w:pPr>
        <w:spacing w:after="0" w:line="225" w:lineRule="exact"/>
        <w:rPr>
          <w:sz w:val="20"/>
          <w:szCs w:val="20"/>
          <w:color w:val="auto"/>
        </w:rPr>
      </w:pPr>
    </w:p>
    <w:p>
      <w:pPr>
        <w:ind w:right="100" w:firstLine="921"/>
        <w:spacing w:after="0" w:line="277" w:lineRule="auto"/>
        <w:tabs>
          <w:tab w:leader="none" w:pos="1168" w:val="left"/>
        </w:tabs>
        <w:numPr>
          <w:ilvl w:val="0"/>
          <w:numId w:val="451"/>
        </w:numPr>
        <w:rPr>
          <w:rFonts w:ascii="Arial" w:cs="Arial" w:eastAsia="Arial" w:hAnsi="Arial"/>
          <w:sz w:val="18"/>
          <w:szCs w:val="18"/>
          <w:color w:val="auto"/>
        </w:rPr>
      </w:pPr>
      <w:r>
        <w:rPr>
          <w:rFonts w:ascii="Arial" w:cs="Arial" w:eastAsia="Arial" w:hAnsi="Arial"/>
          <w:sz w:val="18"/>
          <w:szCs w:val="18"/>
          <w:color w:val="auto"/>
        </w:rPr>
        <w:t>Within 450 days after the receipt of any Net Proceeds of any Asset Sale, the Company or such Restricted Subsidiary, at its option, may apply the Net Proceeds from such Asset Sale,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to permanently reduce: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279" w:name="page280"/>
    <w:bookmarkEnd w:id="279"/>
    <w:p>
      <w:pPr>
        <w:ind w:left="920" w:right="1160" w:firstLine="421"/>
        <w:spacing w:after="0" w:line="277" w:lineRule="auto"/>
        <w:tabs>
          <w:tab w:leader="none" w:pos="1635" w:val="left"/>
        </w:tabs>
        <w:numPr>
          <w:ilvl w:val="1"/>
          <w:numId w:val="4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Lien Obligations (including Obligations under the Senior Credit Facilities and the Existing Secured Notes), and to correspondingly reduce commitments with respect thereto;</w:t>
      </w:r>
    </w:p>
    <w:p>
      <w:pPr>
        <w:spacing w:after="0" w:line="62" w:lineRule="exact"/>
        <w:rPr>
          <w:rFonts w:ascii="Arial" w:cs="Arial" w:eastAsia="Arial" w:hAnsi="Arial"/>
          <w:sz w:val="18"/>
          <w:szCs w:val="18"/>
          <w:color w:val="auto"/>
        </w:rPr>
      </w:pPr>
    </w:p>
    <w:p>
      <w:pPr>
        <w:ind w:left="920" w:right="340" w:firstLine="421"/>
        <w:spacing w:after="0" w:line="277" w:lineRule="auto"/>
        <w:tabs>
          <w:tab w:leader="none" w:pos="1625" w:val="left"/>
        </w:tabs>
        <w:numPr>
          <w:ilvl w:val="1"/>
          <w:numId w:val="452"/>
        </w:numPr>
        <w:rPr>
          <w:rFonts w:ascii="Arial" w:cs="Arial" w:eastAsia="Arial" w:hAnsi="Arial"/>
          <w:sz w:val="18"/>
          <w:szCs w:val="18"/>
          <w:color w:val="auto"/>
        </w:rPr>
      </w:pPr>
      <w:r>
        <w:rPr>
          <w:rFonts w:ascii="Arial" w:cs="Arial" w:eastAsia="Arial" w:hAnsi="Arial"/>
          <w:sz w:val="18"/>
          <w:szCs w:val="18"/>
          <w:color w:val="auto"/>
        </w:rPr>
        <w:t>Obligations under Senior Indebtedness that is secured by a Lien, which Lien is permitted by this Indenture, and to correspondingly reduce commitments with respect thereto; or</w:t>
      </w:r>
    </w:p>
    <w:p>
      <w:pPr>
        <w:spacing w:after="0" w:line="62" w:lineRule="exact"/>
        <w:rPr>
          <w:rFonts w:ascii="Arial" w:cs="Arial" w:eastAsia="Arial" w:hAnsi="Arial"/>
          <w:sz w:val="18"/>
          <w:szCs w:val="18"/>
          <w:color w:val="auto"/>
        </w:rPr>
      </w:pPr>
    </w:p>
    <w:p>
      <w:pPr>
        <w:ind w:left="920" w:right="280" w:firstLine="421"/>
        <w:spacing w:after="0" w:line="277" w:lineRule="auto"/>
        <w:tabs>
          <w:tab w:leader="none" w:pos="1625"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Indebtedness of a Restricted Subsidiary that is not a Guarantor, other than Indebtedness owed to the Company or another Restricted Subsidiary;</w:t>
      </w:r>
    </w:p>
    <w:p>
      <w:pPr>
        <w:spacing w:after="0" w:line="62" w:lineRule="exact"/>
        <w:rPr>
          <w:rFonts w:ascii="Arial" w:cs="Arial" w:eastAsia="Arial" w:hAnsi="Arial"/>
          <w:sz w:val="18"/>
          <w:szCs w:val="18"/>
          <w:color w:val="auto"/>
        </w:rPr>
      </w:pPr>
    </w:p>
    <w:p>
      <w:pPr>
        <w:ind w:left="460" w:right="120" w:firstLine="443"/>
        <w:spacing w:after="0" w:line="259" w:lineRule="auto"/>
        <w:tabs>
          <w:tab w:leader="none" w:pos="115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to make (a) an Investment in any one or more businesses,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 in any business is in the form of the acquisition of Capital Stock and results in the Company or another of its Restricted Subsidiaries, as the case may be, owning an amount of the Capital Stock of such business such that it constitutes a Restricted Subsidiary, (b) capital expenditures or (c) acquisitions of other assets, in each of (a), (b) and (c), used or useful in a Similar Business, or</w:t>
      </w:r>
    </w:p>
    <w:p>
      <w:pPr>
        <w:spacing w:after="0" w:line="78" w:lineRule="exact"/>
        <w:rPr>
          <w:rFonts w:ascii="Arial" w:cs="Arial" w:eastAsia="Arial" w:hAnsi="Arial"/>
          <w:sz w:val="18"/>
          <w:szCs w:val="18"/>
          <w:color w:val="auto"/>
        </w:rPr>
      </w:pPr>
    </w:p>
    <w:p>
      <w:pPr>
        <w:ind w:left="460" w:right="120" w:firstLine="443"/>
        <w:spacing w:after="0" w:line="259" w:lineRule="auto"/>
        <w:tabs>
          <w:tab w:leader="none" w:pos="115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to make an investment in (a) any one or more businesses,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 in any business is in the form of the acquisition of Capital Stock and results in the Company or another of its Restricted Subsidiaries, as the case may be, owning an amount of the Capital Stock of such business such that it constitutes a Restricted Subsidiary, (b) properties or (c) acquisitions of other assets that, in each of (a), (b) and (c), replace the businesses, properties and/or assets that are the subject of such Asset Sale;</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clauses (2) and (3) above, a binding commitment shall be treated as a permitted application of the Net Proceeds from the date of such commitment so long as the Company or such other Restricted Subsidiary enters into such commitment with the good faith expectation that such Net Proceeds will be applied to satisfy such commitment within 180 days of such commitment (an “</w:t>
      </w:r>
      <w:r>
        <w:rPr>
          <w:rFonts w:ascii="Arial" w:cs="Arial" w:eastAsia="Arial" w:hAnsi="Arial"/>
          <w:sz w:val="18"/>
          <w:szCs w:val="18"/>
          <w:u w:val="single" w:color="auto"/>
          <w:color w:val="auto"/>
        </w:rPr>
        <w:t>Acceptable Commitment</w:t>
      </w:r>
      <w:r>
        <w:rPr>
          <w:rFonts w:ascii="Arial" w:cs="Arial" w:eastAsia="Arial" w:hAnsi="Arial"/>
          <w:sz w:val="18"/>
          <w:szCs w:val="18"/>
          <w:color w:val="auto"/>
        </w:rPr>
        <w:t>”) and, in the event any Acceptable Commitment is later cancelled or terminated for any reason before the Net Proceeds are applied in connection therewith, the Company or such Restricted Subsidiary enters into another Acceptable Commitment (a “</w:t>
      </w:r>
      <w:r>
        <w:rPr>
          <w:rFonts w:ascii="Arial" w:cs="Arial" w:eastAsia="Arial" w:hAnsi="Arial"/>
          <w:sz w:val="18"/>
          <w:szCs w:val="18"/>
          <w:u w:val="single" w:color="auto"/>
          <w:color w:val="auto"/>
        </w:rPr>
        <w:t>Second Commitment</w:t>
      </w:r>
      <w:r>
        <w:rPr>
          <w:rFonts w:ascii="Arial" w:cs="Arial" w:eastAsia="Arial" w:hAnsi="Arial"/>
          <w:sz w:val="18"/>
          <w:szCs w:val="18"/>
          <w:color w:val="auto"/>
        </w:rPr>
        <w:t xml:space="preserve">”) within 180 days of such cancellation or termination;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any Second Commitment is later cancelled or terminated for any reason before such Net Proceeds are applied, then such Net Proceeds shall constitute Excess Proceeds.</w:t>
      </w:r>
    </w:p>
    <w:p>
      <w:pPr>
        <w:spacing w:after="0" w:line="189" w:lineRule="exact"/>
        <w:rPr>
          <w:sz w:val="20"/>
          <w:szCs w:val="20"/>
          <w:color w:val="auto"/>
        </w:rPr>
      </w:pPr>
    </w:p>
    <w:p>
      <w:pPr>
        <w:ind w:firstLine="921"/>
        <w:spacing w:after="0" w:line="288" w:lineRule="auto"/>
        <w:tabs>
          <w:tab w:leader="none" w:pos="1158" w:val="left"/>
        </w:tabs>
        <w:numPr>
          <w:ilvl w:val="0"/>
          <w:numId w:val="454"/>
        </w:numPr>
        <w:rPr>
          <w:rFonts w:ascii="Arial" w:cs="Arial" w:eastAsia="Arial" w:hAnsi="Arial"/>
          <w:sz w:val="16"/>
          <w:szCs w:val="16"/>
          <w:color w:val="auto"/>
        </w:rPr>
      </w:pPr>
      <w:r>
        <w:rPr>
          <w:rFonts w:ascii="Arial" w:cs="Arial" w:eastAsia="Arial" w:hAnsi="Arial"/>
          <w:sz w:val="16"/>
          <w:szCs w:val="16"/>
          <w:color w:val="auto"/>
        </w:rPr>
        <w:t>Any Net Proceeds from the Asset Sale that are not invested or applied as provided and within the time period set forth in Section 4.10(b) hereof will be deemed to constitute “</w:t>
      </w:r>
      <w:r>
        <w:rPr>
          <w:rFonts w:ascii="Arial" w:cs="Arial" w:eastAsia="Arial" w:hAnsi="Arial"/>
          <w:sz w:val="16"/>
          <w:szCs w:val="16"/>
          <w:u w:val="single" w:color="auto"/>
          <w:color w:val="auto"/>
        </w:rPr>
        <w:t>Excess Proceeds</w:t>
      </w:r>
      <w:r>
        <w:rPr>
          <w:rFonts w:ascii="Arial" w:cs="Arial" w:eastAsia="Arial" w:hAnsi="Arial"/>
          <w:sz w:val="16"/>
          <w:szCs w:val="16"/>
          <w:color w:val="auto"/>
        </w:rPr>
        <w:t>.” When the aggregate amount of Excess Proceeds exceeds $100.0 million, the Issuer shall make an offer to all Holders of the Notes and, if required by the terms of any other Indebtedness constituting First Lien Obligations, to the holders of such other First Lien Obligations (an “</w:t>
      </w:r>
      <w:r>
        <w:rPr>
          <w:rFonts w:ascii="Arial" w:cs="Arial" w:eastAsia="Arial" w:hAnsi="Arial"/>
          <w:sz w:val="16"/>
          <w:szCs w:val="16"/>
          <w:u w:val="single" w:color="auto"/>
          <w:color w:val="auto"/>
        </w:rPr>
        <w:t>Asset Sale Offer</w:t>
      </w:r>
      <w:r>
        <w:rPr>
          <w:rFonts w:ascii="Arial" w:cs="Arial" w:eastAsia="Arial" w:hAnsi="Arial"/>
          <w:sz w:val="16"/>
          <w:szCs w:val="16"/>
          <w:color w:val="auto"/>
        </w:rPr>
        <w:t>”), to purchase the maximum aggregate principal amount of the Notes and such other First Lien Obligations that is at least $2,000 or an integral multiple of $1,000 thereafter that may be purchased out of the Excess Proceeds at an offer price in cash in an amount equal to 100% of the principal amount thereof (or accreted value, if less), plus accrued and unpaid interest, if any, to the date fixed for the closing of such offer, in accordance with the procedures set forth in this Indenture. The Issuer will commence an Asset Sale Offer with respect to Excess Proceeds within ten Business Days after the date that Excess Proceeds exceed $100.0 million by sending the notice required pursuant to the terms of this Indenture, with a copy to the Trustee. The Issuer may satisfy the foregoing obligations with respect to any Net Proceeds from an Asset Sale by making an Asset Sale Offer with respect to such Net Proceeds prior to the expiration of the relevant 450 days or with respect to Excess Proceeds of $100.0 million or less.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74" w:right="279" w:bottom="1440" w:gutter="0" w:footer="0" w:header="0"/>
        </w:sectPr>
      </w:pPr>
    </w:p>
    <w:bookmarkStart w:id="280" w:name="page281"/>
    <w:bookmarkEnd w:id="280"/>
    <w:p>
      <w:pPr>
        <w:ind w:right="8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the extent that the aggregate amount of Notes and such other First Lien Obligations tendered pursuant to an Asset Sale Offer is less than the Excess Proceeds, the Issuer may use any remaining Excess Proceeds for general corporate purposes, subject to other covenants contained in this Indenture. If the aggregate principal amount of Notes or the other First Lien Obligations surrendered by such holders thereof exceeds the amount of Excess Proceeds, the Trustee shall select the Notes and such other First Lien Obligations to be purchased on a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rata basis based on the accreted value or principal amount of the Notes or such other First Lien Obligations tendered. Upon completion of any such Asset Sale Offer, the amount of Excess Proceeds that resulted in the Asset Sale Offer shall be reset to zero.</w:t>
      </w:r>
    </w:p>
    <w:p>
      <w:pPr>
        <w:spacing w:after="0" w:line="85" w:lineRule="exact"/>
        <w:rPr>
          <w:sz w:val="20"/>
          <w:szCs w:val="20"/>
          <w:color w:val="auto"/>
        </w:rPr>
      </w:pPr>
    </w:p>
    <w:p>
      <w:pPr>
        <w:ind w:firstLine="921"/>
        <w:spacing w:after="0" w:line="264" w:lineRule="auto"/>
        <w:tabs>
          <w:tab w:leader="none" w:pos="116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pursuant to this Section 4.10, the holder of such Net Proceeds may apply such Net Proceeds temporarily to reduce Indebtedness outstanding under a revolving credit facility or otherwise invest such Net Proceeds in any manner not prohibited by this Indenture.</w:t>
      </w:r>
    </w:p>
    <w:p>
      <w:pPr>
        <w:spacing w:after="0" w:line="73" w:lineRule="exact"/>
        <w:rPr>
          <w:rFonts w:ascii="Arial" w:cs="Arial" w:eastAsia="Arial" w:hAnsi="Arial"/>
          <w:sz w:val="18"/>
          <w:szCs w:val="18"/>
          <w:color w:val="auto"/>
        </w:rPr>
      </w:pPr>
    </w:p>
    <w:p>
      <w:pPr>
        <w:ind w:right="60" w:firstLine="921"/>
        <w:spacing w:after="0" w:line="279" w:lineRule="auto"/>
        <w:tabs>
          <w:tab w:leader="none" w:pos="1158"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The Issuer will comply with the requirements of Rule 14e-1 under the Exchange Act and any other securities laws and regulations thereunder to the extent such laws or regulations are applicable in connection with the repurchase of the Notes pursuant to an Asset Sale Offer. To the extent that the provisions of any securities laws or regulations conflict with the provisions of this Indenture, the Issuer will comply with the applicable securities laws and regulations and shall not be deemed to have breached its obligations described in this Indenture by virtue thereof.</w:t>
      </w:r>
    </w:p>
    <w:p>
      <w:pPr>
        <w:spacing w:after="0" w:line="171"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(a) 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of the foregoing, an “Affiliate Transaction”) involving aggregate payments or consideration in excess of $25.0 million, unless:</w:t>
      </w:r>
    </w:p>
    <w:p>
      <w:pPr>
        <w:spacing w:after="0" w:line="63" w:lineRule="exact"/>
        <w:rPr>
          <w:sz w:val="20"/>
          <w:szCs w:val="20"/>
          <w:color w:val="auto"/>
        </w:rPr>
      </w:pPr>
    </w:p>
    <w:p>
      <w:pPr>
        <w:ind w:left="460" w:right="80" w:firstLine="443"/>
        <w:spacing w:after="0" w:line="264" w:lineRule="auto"/>
        <w:tabs>
          <w:tab w:leader="none" w:pos="1153" w:val="left"/>
        </w:tabs>
        <w:numPr>
          <w:ilvl w:val="0"/>
          <w:numId w:val="456"/>
        </w:numPr>
        <w:rPr>
          <w:rFonts w:ascii="Arial" w:cs="Arial" w:eastAsia="Arial" w:hAnsi="Arial"/>
          <w:sz w:val="18"/>
          <w:szCs w:val="18"/>
          <w:color w:val="auto"/>
        </w:rPr>
      </w:pPr>
      <w:r>
        <w:rPr>
          <w:rFonts w:ascii="Arial" w:cs="Arial" w:eastAsia="Arial" w:hAnsi="Arial"/>
          <w:sz w:val="18"/>
          <w:szCs w:val="18"/>
          <w:color w:val="auto"/>
        </w:rPr>
        <w:t>such Affiliate Transaction is on terms that are not materially less favorable to the Company or its relevant Restricted Subsidiary than those that would have been obtained in a comparable transaction by the Company or such Restricted Subsidiary with an unrelated Person on an arm’s-length basis; and</w:t>
      </w:r>
    </w:p>
    <w:p>
      <w:pPr>
        <w:spacing w:after="0" w:line="73" w:lineRule="exact"/>
        <w:rPr>
          <w:rFonts w:ascii="Arial" w:cs="Arial" w:eastAsia="Arial" w:hAnsi="Arial"/>
          <w:sz w:val="18"/>
          <w:szCs w:val="18"/>
          <w:color w:val="auto"/>
        </w:rPr>
      </w:pPr>
    </w:p>
    <w:p>
      <w:pPr>
        <w:ind w:left="460" w:right="140" w:firstLine="443"/>
        <w:spacing w:after="0" w:line="312" w:lineRule="auto"/>
        <w:tabs>
          <w:tab w:leader="none" w:pos="1153"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the Issuer delivers to the Trustee with respect to any Affiliate Transaction or series of related Affiliate Transactions involving aggregate payments or consideration in excess of $60.0 million, a resolution adopted by the majority of the board of directors of the Issuer approving such Affiliate Transaction and set forth in an Officer’s Certificate certifying that such Affiliate Transaction complies with clause (1) of this Section 4.11(a).</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The provisions of Section 4.11(a) will not apply to the following:</w:t>
      </w:r>
    </w:p>
    <w:p>
      <w:pPr>
        <w:spacing w:after="0" w:line="117" w:lineRule="exact"/>
        <w:rPr>
          <w:sz w:val="20"/>
          <w:szCs w:val="20"/>
          <w:color w:val="auto"/>
        </w:rPr>
      </w:pPr>
    </w:p>
    <w:p>
      <w:pPr>
        <w:ind w:left="1160" w:hanging="257"/>
        <w:spacing w:after="0"/>
        <w:tabs>
          <w:tab w:leader="none" w:pos="11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transactions between or among the Company or any of its Restricted Subsidiaries;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Restricted Payments permitted by Section 4.07 hereof and the definition of “Permitted Investments”;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460" w:right="500" w:firstLine="443"/>
        <w:spacing w:after="0" w:line="308" w:lineRule="auto"/>
        <w:tabs>
          <w:tab w:leader="none" w:pos="1153" w:val="left"/>
        </w:tabs>
        <w:numPr>
          <w:ilvl w:val="0"/>
          <w:numId w:val="457"/>
        </w:numPr>
        <w:rPr>
          <w:rFonts w:ascii="Arial" w:cs="Arial" w:eastAsia="Arial" w:hAnsi="Arial"/>
          <w:sz w:val="17"/>
          <w:szCs w:val="17"/>
          <w:color w:val="auto"/>
        </w:rPr>
      </w:pPr>
      <w:r>
        <w:rPr>
          <w:rFonts w:ascii="Arial" w:cs="Arial" w:eastAsia="Arial" w:hAnsi="Arial"/>
          <w:sz w:val="17"/>
          <w:szCs w:val="17"/>
          <w:color w:val="auto"/>
        </w:rPr>
        <w:t>the payment of reasonable and customary fees paid to, and indemnities provided for the benefit of, current or former officers, directors, employees or consultants of the Company, any of its direct or indirect parent companies or any of its Restricted Subsidiaries;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281" w:name="page282"/>
    <w:bookmarkEnd w:id="281"/>
    <w:p>
      <w:pPr>
        <w:ind w:right="40" w:firstLine="443"/>
        <w:spacing w:after="0" w:line="279" w:lineRule="auto"/>
        <w:tabs>
          <w:tab w:leader="none" w:pos="693" w:val="left"/>
        </w:tabs>
        <w:numPr>
          <w:ilvl w:val="0"/>
          <w:numId w:val="4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in which the Company or any of its Restricted Subsidiaries, as the case may be, delivers to the Trustee a letter from an Independent Financial Advisor stating that such transaction is fair to the Company or such Restricted Subsidiary from a financial point of view or stating that the terms are not materially less favorable to the Company or its relevant Restricted Subsidiary than those that would have been obtained in a comparable transaction by the Company or such Restricted Subsidiary with an unrelated Person on an arm’s-length basis;</w:t>
      </w:r>
    </w:p>
    <w:p>
      <w:pPr>
        <w:spacing w:after="0" w:line="63" w:lineRule="exact"/>
        <w:rPr>
          <w:rFonts w:ascii="Arial" w:cs="Arial" w:eastAsia="Arial" w:hAnsi="Arial"/>
          <w:sz w:val="17"/>
          <w:szCs w:val="17"/>
          <w:color w:val="auto"/>
        </w:rPr>
      </w:pPr>
    </w:p>
    <w:p>
      <w:pPr>
        <w:ind w:right="260" w:firstLine="443"/>
        <w:spacing w:after="0" w:line="277" w:lineRule="auto"/>
        <w:tabs>
          <w:tab w:leader="none" w:pos="69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any agreement as in effect as of the Merger Date, or any amendment thereto (so long as any such amendment is not disadvantageous to the Holders when taken as a whole as compared to the applicable agreement as in effect on the Merger Date);</w:t>
      </w:r>
    </w:p>
    <w:p>
      <w:pPr>
        <w:spacing w:after="0" w:line="62" w:lineRule="exact"/>
        <w:rPr>
          <w:rFonts w:ascii="Arial" w:cs="Arial" w:eastAsia="Arial" w:hAnsi="Arial"/>
          <w:sz w:val="18"/>
          <w:szCs w:val="18"/>
          <w:color w:val="auto"/>
        </w:rPr>
      </w:pPr>
    </w:p>
    <w:p>
      <w:pPr>
        <w:ind w:right="20" w:firstLine="443"/>
        <w:spacing w:after="0" w:line="255" w:lineRule="auto"/>
        <w:tabs>
          <w:tab w:leader="none" w:pos="69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xml:space="preserve">the existence of, or the performance by the Company or any of its Restricted Subsidiaries of its obligations under the terms of, any stockholders agreement (including any registration rights agreement or purchase agreement related thereto) to which it is a party as of the Issue Date and any similar agreements which it may enter into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existence of, or the performance by the Company or any of its Restricted Subsidiaries of obligations under any future amendment to any such existing agreement or under any similar agreement entered into after the Issue Date shall only be permitted by this clause (7) to the extent that the terms of any such amendment or new agreement are not otherwise disadvantageous to the Holders when taken as a whole;</w:t>
      </w:r>
    </w:p>
    <w:p>
      <w:pPr>
        <w:spacing w:after="0" w:line="85" w:lineRule="exact"/>
        <w:rPr>
          <w:rFonts w:ascii="Arial" w:cs="Arial" w:eastAsia="Arial" w:hAnsi="Arial"/>
          <w:sz w:val="18"/>
          <w:szCs w:val="18"/>
          <w:color w:val="auto"/>
        </w:rPr>
      </w:pPr>
    </w:p>
    <w:p>
      <w:pPr>
        <w:ind w:left="700" w:hanging="257"/>
        <w:spacing w:after="0"/>
        <w:tabs>
          <w:tab w:leader="none" w:pos="7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Transaction, the Merger and the payment of all fees and expenses related to the Transaction or the Merger;</w:t>
      </w:r>
    </w:p>
    <w:p>
      <w:pPr>
        <w:spacing w:after="0" w:line="117" w:lineRule="exact"/>
        <w:rPr>
          <w:rFonts w:ascii="Arial" w:cs="Arial" w:eastAsia="Arial" w:hAnsi="Arial"/>
          <w:sz w:val="18"/>
          <w:szCs w:val="18"/>
          <w:color w:val="auto"/>
        </w:rPr>
      </w:pPr>
    </w:p>
    <w:p>
      <w:pPr>
        <w:ind w:right="240" w:firstLine="443"/>
        <w:spacing w:after="0" w:line="259" w:lineRule="auto"/>
        <w:tabs>
          <w:tab w:leader="none" w:pos="69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transactions with customers, clients, suppliers, or purchasers or sellers of goods or services that are Affiliates, in each case in the ordinary course of business and otherwise in compliance with the terms of this Indenture which are fair to the Company and its Restricted Subsidiaries, in the reasonable determination of the board of directors of the Company or the senior management thereof, or are on terms at least as favorable as might reasonably have been obtained at such time from an unaffiliated party;</w:t>
      </w:r>
    </w:p>
    <w:p>
      <w:pPr>
        <w:spacing w:after="0" w:line="78" w:lineRule="exact"/>
        <w:rPr>
          <w:rFonts w:ascii="Arial" w:cs="Arial" w:eastAsia="Arial" w:hAnsi="Arial"/>
          <w:sz w:val="18"/>
          <w:szCs w:val="18"/>
          <w:color w:val="auto"/>
        </w:rPr>
      </w:pPr>
    </w:p>
    <w:p>
      <w:pPr>
        <w:ind w:firstLine="443"/>
        <w:spacing w:after="0" w:line="277" w:lineRule="auto"/>
        <w:tabs>
          <w:tab w:leader="none" w:pos="78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issuance of Equity Interests (other than Disqualified Stock) of the Company to any Permitted Holder or to any director, officer, employee or consultant of the Company, any of its direct or indirect parent companies or any of its Restricted Subsidiaries;</w:t>
      </w:r>
    </w:p>
    <w:p>
      <w:pPr>
        <w:spacing w:after="0" w:line="62" w:lineRule="exact"/>
        <w:rPr>
          <w:rFonts w:ascii="Arial" w:cs="Arial" w:eastAsia="Arial" w:hAnsi="Arial"/>
          <w:sz w:val="18"/>
          <w:szCs w:val="18"/>
          <w:color w:val="auto"/>
        </w:rPr>
      </w:pPr>
    </w:p>
    <w:p>
      <w:pPr>
        <w:ind w:right="940" w:firstLine="443"/>
        <w:spacing w:after="0" w:line="277" w:lineRule="auto"/>
        <w:tabs>
          <w:tab w:leader="none" w:pos="776" w:val="left"/>
        </w:tabs>
        <w:numPr>
          <w:ilvl w:val="0"/>
          <w:numId w:val="458"/>
        </w:numPr>
        <w:rPr>
          <w:rFonts w:ascii="Arial" w:cs="Arial" w:eastAsia="Arial" w:hAnsi="Arial"/>
          <w:sz w:val="18"/>
          <w:szCs w:val="18"/>
          <w:color w:val="auto"/>
        </w:rPr>
      </w:pPr>
      <w:r>
        <w:rPr>
          <w:rFonts w:ascii="Arial" w:cs="Arial" w:eastAsia="Arial" w:hAnsi="Arial"/>
          <w:sz w:val="18"/>
          <w:szCs w:val="18"/>
          <w:color w:val="auto"/>
        </w:rPr>
        <w:t>sales of accounts receivable, or participations therein, or Securitization Assets or related assets in connection with any Qualified Securitization Facility;</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payments by the Company or any of its Restricted Subsidiaries to any of the Investors made for any financial advisory, financing,</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underwriting or placement services or in respect of other investment banking activities, including, without limitation, in connection with acquisitions or divestitures which payments are approved by a majority of the board of directors of the Company in good faith;</w:t>
      </w:r>
    </w:p>
    <w:p>
      <w:pPr>
        <w:spacing w:after="0" w:line="75" w:lineRule="exact"/>
        <w:rPr>
          <w:rFonts w:ascii="Arial" w:cs="Arial" w:eastAsia="Arial" w:hAnsi="Arial"/>
          <w:sz w:val="17"/>
          <w:szCs w:val="17"/>
          <w:color w:val="auto"/>
        </w:rPr>
      </w:pPr>
    </w:p>
    <w:p>
      <w:pPr>
        <w:ind w:right="160" w:firstLine="443"/>
        <w:spacing w:after="0" w:line="264" w:lineRule="auto"/>
        <w:tabs>
          <w:tab w:leader="none" w:pos="78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payments or loans (or cancellation of loans) to employees or consultants of the Company, any of its direct or indirect parent companies or any of its Restricted Subsidiaries and employment agreements, stock option plans and other similar arrangements with such employees or consultants which, in each case, are approved by a majority of the board of directors of the Company in good faith;</w:t>
      </w:r>
    </w:p>
    <w:p>
      <w:pPr>
        <w:spacing w:after="0" w:line="73" w:lineRule="exact"/>
        <w:rPr>
          <w:rFonts w:ascii="Arial" w:cs="Arial" w:eastAsia="Arial" w:hAnsi="Arial"/>
          <w:sz w:val="18"/>
          <w:szCs w:val="18"/>
          <w:color w:val="auto"/>
        </w:rPr>
      </w:pPr>
    </w:p>
    <w:p>
      <w:pPr>
        <w:jc w:val="both"/>
        <w:ind w:right="180" w:firstLine="443"/>
        <w:spacing w:after="0" w:line="259" w:lineRule="auto"/>
        <w:tabs>
          <w:tab w:leader="none" w:pos="78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investments by any of the Investors in securities of the Company or any of its Restricted Subsidiaries (and payment of reasonable out-of-pocket expenses incurred by such investors in connection therewith) so long as (i) the investment is being offered generally to other investors on the same or more favorable terms and (ii) the investment constitutes less than 5% of the proposed or outstanding issue amount of such class of securities; and</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40"/>
          </w:cols>
          <w:pgMar w:left="700" w:top="274" w:right="259" w:bottom="1440" w:gutter="0" w:footer="0" w:header="0"/>
        </w:sectPr>
      </w:pPr>
    </w:p>
    <w:bookmarkStart w:id="282" w:name="page283"/>
    <w:bookmarkEnd w:id="282"/>
    <w:p>
      <w:pPr>
        <w:ind w:left="460" w:firstLine="443"/>
        <w:spacing w:after="0" w:line="302" w:lineRule="auto"/>
        <w:tabs>
          <w:tab w:leader="none" w:pos="1243" w:val="left"/>
        </w:tabs>
        <w:numPr>
          <w:ilvl w:val="0"/>
          <w:numId w:val="4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transactions with respect to the Issuer’s jointly funded alliance with respect to the 300 millimeter wafer fabrication in Crolles, France, as in effect on the Merger Date, and any amendment, modification or restructuring thereof, or any successor or replacement alliance or arrangement with respect thereto, or any additional alliance or arrangement with respect to 300 millimeter or larger wafer fabrication (in each case whether or not located in Crolles, France) which successor or replacement alliance or arrangement is otherwise permitted under this Indenture.</w:t>
      </w:r>
    </w:p>
    <w:p>
      <w:pPr>
        <w:spacing w:after="0" w:line="154"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Liens</w:t>
      </w:r>
      <w:r>
        <w:rPr>
          <w:rFonts w:ascii="Arial" w:cs="Arial" w:eastAsia="Arial" w:hAnsi="Arial"/>
          <w:sz w:val="18"/>
          <w:szCs w:val="18"/>
          <w:color w:val="auto"/>
        </w:rPr>
        <w:t>. The Company shall not, and shall not permit the Issuer, Holdings IV, Holdings V or any Subsidiary Guarantor to, directly or indirectly, create, incur, assume or suffer to exist any Lien that secures obligations under any Indebtedness or any related guarantee (the “Initial Lien”), on any asset or property of the Company, the Issuer, Holdings I, Holdings II, Holdings III, Holdings IV, Holdings V or any Subsidiary Guarantor, or any income or profits therefrom, or assign or convey any right to receive income therefrom, except:</w:t>
      </w:r>
    </w:p>
    <w:p>
      <w:pPr>
        <w:spacing w:after="0" w:line="79" w:lineRule="exact"/>
        <w:rPr>
          <w:sz w:val="20"/>
          <w:szCs w:val="20"/>
          <w:color w:val="auto"/>
        </w:rPr>
      </w:pPr>
    </w:p>
    <w:p>
      <w:pPr>
        <w:ind w:left="1160" w:hanging="257"/>
        <w:spacing w:after="0"/>
        <w:tabs>
          <w:tab w:leader="none" w:pos="11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in the case of any Initial Lien on any Collateral, such Initial Lien if such Initial Lien is a Permitted Lien; and</w:t>
      </w:r>
    </w:p>
    <w:p>
      <w:pPr>
        <w:spacing w:after="0" w:line="117" w:lineRule="exact"/>
        <w:rPr>
          <w:rFonts w:ascii="Arial" w:cs="Arial" w:eastAsia="Arial" w:hAnsi="Arial"/>
          <w:sz w:val="18"/>
          <w:szCs w:val="18"/>
          <w:color w:val="auto"/>
        </w:rPr>
      </w:pPr>
    </w:p>
    <w:p>
      <w:pPr>
        <w:ind w:left="460" w:right="80" w:firstLine="443"/>
        <w:spacing w:after="0" w:line="264" w:lineRule="auto"/>
        <w:tabs>
          <w:tab w:leader="none" w:pos="1153"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in the case of any Initial Lien on any asset or property not constituting or required to become Collateral, such Initial Lien if (a) the Notes and Guarantees are equally and ratably secured with (or on a senior basis to, in the case such Initial Lien secures any Subordinated Indebtedness) the Obligations secured by such Initial Lien, or (b) such Initial Lien is a Permitted Lien.</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Any Lien created for the benefit of the Holders pursuant to clause (2) of this Section 4.12 shall provide by its terms that such Lien shall be automatically and unconditionally released and discharged upon the release and discharge of the Initial Lien which release and discharge in the case of any sale of any such asset or property shall not affect any Lien that the Trustee, the Collateral Agent or any other Authorized Representative may have on the proceeds from such sale.</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Issuer or any Guarantor creates any additional Lien upon any property or assets to secure any First Lien Obligations, it must concurrently grant a First Lien upon such property or assets as security for the Notes or the applicable Guarantee of the Notes such that the property or assets subject to such Lien becomes Collateral subject to the First Lien, except to the extent such property constitutes cash or cash equivalents required to secure only letter of credit obligations under the Senior Credit Facilities.</w:t>
      </w:r>
    </w:p>
    <w:p>
      <w:pPr>
        <w:spacing w:after="0" w:line="18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Company Existence</w:t>
      </w:r>
      <w:r>
        <w:rPr>
          <w:rFonts w:ascii="Arial" w:cs="Arial" w:eastAsia="Arial" w:hAnsi="Arial"/>
          <w:sz w:val="18"/>
          <w:szCs w:val="18"/>
          <w:color w:val="auto"/>
        </w:rPr>
        <w:t>. Subject to Article 5 hereof, the Company shall do or cause to be done all things necessary to preserve and keep in full force and effect (i) its company existence, and the corporate, partnership or other existence of each of its Restricted Subsidiaries, in accordance with the respective organizational documents (as the same may be amended from time to time) of the Company or any such Restricted Subsidiary and (ii) the rights (charter and statutory), licenses and franchises of the Company and its Restricted Subsidiaries; provided that the Company shall not be required to preserve any such right, license or franchise, or the corporate, partnership or other existence of any of its Restricted Subsidiaries (other than the Issuer), if the Company in good faith shall determine that the preservation thereof is no longer desirable in the conduct of the business of the Company and its Restricted Subsidiaries, taken as a whole.</w:t>
      </w:r>
    </w:p>
    <w:p>
      <w:pPr>
        <w:spacing w:after="0" w:line="189"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Offer to Repurchase Upon Change of Control</w:t>
      </w:r>
      <w:r>
        <w:rPr>
          <w:rFonts w:ascii="Arial" w:cs="Arial" w:eastAsia="Arial" w:hAnsi="Arial"/>
          <w:sz w:val="18"/>
          <w:szCs w:val="18"/>
          <w:color w:val="auto"/>
        </w:rPr>
        <w:t>. If a Change of Control occurs, unless the Issuer has previously or concurrently transmitted a redemption notice with respect to all the outstanding Notes as described under Section 3.07 hereof, the Issuer shall make an offer to purchase all of the Notes pursuant to the offer described below (the “Change of Control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74" w:right="279" w:bottom="1440" w:gutter="0" w:footer="0" w:header="0"/>
        </w:sectPr>
      </w:pPr>
    </w:p>
    <w:bookmarkStart w:id="283" w:name="page284"/>
    <w:bookmarkEnd w:id="283"/>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 at a price in cash (the “Change of Control Payment”) equal to 101% of the aggregate principal amount thereof plus accrued and unpaid interest, if any, to the date of purchase, subject to the right of Holders of the Notes of record on the relevant Record Date to receive interest due on the relevant Interest Payment Date. Within 30 days following any Change of Control, the Issuer shall send notice of such Change of Control Offer by first-class mail, with a copy to the Trustee, or otherwise transmit to each Holder of Notes to the address of such Holder appearing in the Note Register or otherwise in accordance with Applicable Procedures, with a copy to the Trustee, with the following information:</w:t>
      </w:r>
    </w:p>
    <w:p>
      <w:pPr>
        <w:spacing w:after="0" w:line="64" w:lineRule="exact"/>
        <w:rPr>
          <w:sz w:val="20"/>
          <w:szCs w:val="20"/>
          <w:color w:val="auto"/>
        </w:rPr>
      </w:pPr>
    </w:p>
    <w:p>
      <w:pPr>
        <w:ind w:left="460" w:right="240" w:firstLine="443"/>
        <w:spacing w:after="0" w:line="277" w:lineRule="auto"/>
        <w:tabs>
          <w:tab w:leader="none" w:pos="115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that a Change of Control Offer is being made pursuant to this Section 4.14 and that all Notes properly tendered pursuant to such Change of Control Offer will be accepted for payment by the Issuer;</w:t>
      </w:r>
    </w:p>
    <w:p>
      <w:pPr>
        <w:spacing w:after="0" w:line="62"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purchase price and the purchase date, which will be no earlier than 30 days nor later than 60 days from the date such notice is sent (the “</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that any Note not properly tendered will remain outstanding and continue to accrue interest;</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that unless the Issuer defaults in the payment of the Change of Control Payment, all Notes accepted for payment pursuant to the Change of Control Offer will cease to accrue interest on the Change of Control Payment Date;</w:t>
      </w:r>
    </w:p>
    <w:p>
      <w:pPr>
        <w:spacing w:after="0" w:line="62" w:lineRule="exact"/>
        <w:rPr>
          <w:rFonts w:ascii="Arial" w:cs="Arial" w:eastAsia="Arial" w:hAnsi="Arial"/>
          <w:sz w:val="18"/>
          <w:szCs w:val="18"/>
          <w:color w:val="auto"/>
        </w:rPr>
      </w:pPr>
    </w:p>
    <w:p>
      <w:pPr>
        <w:jc w:val="both"/>
        <w:ind w:left="460" w:right="220" w:firstLine="443"/>
        <w:spacing w:after="0" w:line="286" w:lineRule="auto"/>
        <w:tabs>
          <w:tab w:leader="none" w:pos="1153"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that Holders electing to have any Notes purchased pursuant to a Change of Control Offer will be required to surrender such Notes, with the form entitled “Option of Holder to Elect Purchase” on the reverse of such Notes completed, to the paying agent specified in the notice at the address specified in the notice prior to the close of business on the third Business Day preceding the Change of Control Payment Date;</w:t>
      </w:r>
    </w:p>
    <w:p>
      <w:pPr>
        <w:spacing w:after="0" w:line="57" w:lineRule="exact"/>
        <w:rPr>
          <w:rFonts w:ascii="Arial" w:cs="Arial" w:eastAsia="Arial" w:hAnsi="Arial"/>
          <w:sz w:val="17"/>
          <w:szCs w:val="17"/>
          <w:color w:val="auto"/>
        </w:rPr>
      </w:pPr>
    </w:p>
    <w:p>
      <w:pPr>
        <w:ind w:left="460" w:right="20" w:firstLine="443"/>
        <w:spacing w:after="0" w:line="259" w:lineRule="auto"/>
        <w:tabs>
          <w:tab w:leader="none" w:pos="115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that Holders will be entitled to withdraw their tendered Notes and their election to require the Issuer to purchase such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paying agent receives, not later than the close of business on the expiration date of the Change of Control Offer, a telegram, facsimile transmission or letter setting forth the name of the Holder of the Notes, the principal amount of Notes tendered for purchase, and a statement that such Holder is withdrawing its tendered Notes and its election to have such Notes purchased;</w:t>
      </w:r>
    </w:p>
    <w:p>
      <w:pPr>
        <w:spacing w:after="0" w:line="78"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that if the Issuer is redeeming less than all of the Notes, the Holders of the remaining Notes will be issued new Notes and such new Notes will be equal in principal amount to the unpurchased portion of the Notes surrendered. The unpurchased portion of the Notes must be equal to at least $2,000 or an integral multiple of $1,000 thereafter;</w:t>
      </w:r>
    </w:p>
    <w:p>
      <w:pPr>
        <w:spacing w:after="0" w:line="73"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if such notice is sent prior to the occurrence of a Change of Control, stating that the Change of Control Offer is conditional on the occurrence of such Change of Control;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the other instructions, as determined by the Issuer, consistent with this Section 4.14 described hereunder, that a Holder must follow.</w:t>
      </w:r>
    </w:p>
    <w:p>
      <w:pPr>
        <w:spacing w:after="0" w:line="23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notice, if transmitted in a manner herein provided, shall be conclusively presumed to have been given, whether or not the Holder receives such notice. If (a) the notice is transmitted in a manner herein provided and (b)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 The Issuer shall comply with the requirements of Rule 14e-1 under the Exchange Act and any other securities laws and regulations thereunder to the extent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4" w:right="259" w:bottom="1440" w:gutter="0" w:footer="0" w:header="0"/>
        </w:sectPr>
      </w:pPr>
    </w:p>
    <w:bookmarkStart w:id="284" w:name="page285"/>
    <w:bookmarkEnd w:id="284"/>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laws or regulations are applicable in connection with the repurchase of Notes pursuant to a Change of Control Offer. To the extent that the provisions of any securities laws or regulations conflict with the provisions of this Indenture, the Issuer shall comply with the applicable securities laws and regulations and shall not be deemed to have breached its obligations under this Indenture by virtue thereof.</w:t>
      </w:r>
    </w:p>
    <w:p>
      <w:pPr>
        <w:spacing w:after="0" w:line="73" w:lineRule="exact"/>
        <w:rPr>
          <w:sz w:val="20"/>
          <w:szCs w:val="20"/>
          <w:color w:val="auto"/>
        </w:rPr>
      </w:pPr>
    </w:p>
    <w:p>
      <w:pPr>
        <w:ind w:left="1180" w:hanging="259"/>
        <w:spacing w:after="0"/>
        <w:tabs>
          <w:tab w:leader="none" w:pos="118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On the Change of Control Payment Date, the Issuer shall, to the extent permitted by law,</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accept for payment all Notes issued by it or portions thereof properly tendered pursuant to the Change of Control Offer,</w:t>
      </w:r>
    </w:p>
    <w:p>
      <w:pPr>
        <w:spacing w:after="0" w:line="117" w:lineRule="exact"/>
        <w:rPr>
          <w:rFonts w:ascii="Arial" w:cs="Arial" w:eastAsia="Arial" w:hAnsi="Arial"/>
          <w:sz w:val="18"/>
          <w:szCs w:val="18"/>
          <w:color w:val="auto"/>
        </w:rPr>
      </w:pPr>
    </w:p>
    <w:p>
      <w:pPr>
        <w:ind w:left="460" w:right="360" w:firstLine="443"/>
        <w:spacing w:after="0" w:line="277" w:lineRule="auto"/>
        <w:tabs>
          <w:tab w:leader="none" w:pos="115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Payment in respect of all Notes or portions thereof so tendered, and</w:t>
      </w:r>
    </w:p>
    <w:p>
      <w:pPr>
        <w:spacing w:after="0" w:line="62" w:lineRule="exact"/>
        <w:rPr>
          <w:rFonts w:ascii="Arial" w:cs="Arial" w:eastAsia="Arial" w:hAnsi="Arial"/>
          <w:sz w:val="18"/>
          <w:szCs w:val="18"/>
          <w:color w:val="auto"/>
        </w:rPr>
      </w:pPr>
    </w:p>
    <w:p>
      <w:pPr>
        <w:ind w:left="460" w:right="360" w:firstLine="443"/>
        <w:spacing w:after="0" w:line="277" w:lineRule="auto"/>
        <w:tabs>
          <w:tab w:leader="none" w:pos="115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Notes so accepted together with an Officer’s Certificate to the Trustee stating that such Notes or portions thereof have been tendered to and purchased by the Issuer.</w:t>
      </w:r>
    </w:p>
    <w:p>
      <w:pPr>
        <w:spacing w:after="0" w:line="62" w:lineRule="exact"/>
        <w:rPr>
          <w:rFonts w:ascii="Arial" w:cs="Arial" w:eastAsia="Arial" w:hAnsi="Arial"/>
          <w:sz w:val="18"/>
          <w:szCs w:val="18"/>
          <w:color w:val="auto"/>
        </w:rPr>
      </w:pPr>
    </w:p>
    <w:p>
      <w:pPr>
        <w:ind w:right="200" w:firstLine="921"/>
        <w:spacing w:after="0" w:line="276" w:lineRule="auto"/>
        <w:tabs>
          <w:tab w:leader="none" w:pos="1158" w:val="left"/>
        </w:tabs>
        <w:numPr>
          <w:ilvl w:val="1"/>
          <w:numId w:val="463"/>
        </w:numPr>
        <w:rPr>
          <w:rFonts w:ascii="Arial" w:cs="Arial" w:eastAsia="Arial" w:hAnsi="Arial"/>
          <w:sz w:val="17"/>
          <w:szCs w:val="17"/>
          <w:color w:val="auto"/>
        </w:rPr>
      </w:pPr>
      <w:r>
        <w:rPr>
          <w:rFonts w:ascii="Arial" w:cs="Arial" w:eastAsia="Arial" w:hAnsi="Arial"/>
          <w:sz w:val="17"/>
          <w:szCs w:val="17"/>
          <w:color w:val="auto"/>
        </w:rPr>
        <w:t>The Issuer shall not be required to make a Change of Control Offer following a Change of Control if a third party makes the Change of Control Offer in the manner, at the times and otherwise in compliance with the requirements set forth in this Indenture applicable to a Change of Control Offer made by the Issuer and purchases all Notes validly tendered and not withdrawn under such Change of Control Offer. Notwithstanding anything to the contrary herein, a Change of Control Offer may be made in advance of a Change of Control, conditional upon such Change of Control, if a definitive agreement is in place for the Change of Control at the time of making of the Change of Control Offer.</w:t>
      </w:r>
    </w:p>
    <w:p>
      <w:pPr>
        <w:spacing w:after="0" w:line="64" w:lineRule="exact"/>
        <w:rPr>
          <w:rFonts w:ascii="Arial" w:cs="Arial" w:eastAsia="Arial" w:hAnsi="Arial"/>
          <w:sz w:val="17"/>
          <w:szCs w:val="17"/>
          <w:color w:val="auto"/>
        </w:rPr>
      </w:pPr>
    </w:p>
    <w:p>
      <w:pPr>
        <w:jc w:val="both"/>
        <w:ind w:firstLine="921"/>
        <w:spacing w:after="0" w:line="264" w:lineRule="auto"/>
        <w:tabs>
          <w:tab w:leader="none" w:pos="1168" w:val="left"/>
        </w:tabs>
        <w:numPr>
          <w:ilvl w:val="1"/>
          <w:numId w:val="463"/>
        </w:numPr>
        <w:rPr>
          <w:rFonts w:ascii="Arial" w:cs="Arial" w:eastAsia="Arial" w:hAnsi="Arial"/>
          <w:sz w:val="18"/>
          <w:szCs w:val="18"/>
          <w:color w:val="auto"/>
        </w:rPr>
      </w:pPr>
      <w:r>
        <w:rPr>
          <w:rFonts w:ascii="Arial" w:cs="Arial" w:eastAsia="Arial" w:hAnsi="Arial"/>
          <w:sz w:val="18"/>
          <w:szCs w:val="18"/>
          <w:color w:val="auto"/>
        </w:rPr>
        <w:t>Other than as specifically provided in this Section 4.14, any purchase pursuant to this Section 4.14 shall be made pursuant to the provisions of Sections 3.02, 3.05 and 3.06 hereof, and references therein to “redeem,” “redemption” and similar words shall be deemed to refer to “purchase,” “repurchase” and similar words, as applicable.</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Limitation on Guarantees of Indebtedness by Restricted Subsidiaries</w:t>
      </w:r>
      <w:r>
        <w:rPr>
          <w:rFonts w:ascii="Arial" w:cs="Arial" w:eastAsia="Arial" w:hAnsi="Arial"/>
          <w:sz w:val="18"/>
          <w:szCs w:val="18"/>
          <w:color w:val="auto"/>
        </w:rPr>
        <w:t>. The Company shall not permit any of its Restricted Subsidiaries, other than a Guarantor or the Issuer, to guarantee the payment of any First Lien Obligations, including any Indebtedness (or any interest on such Indebtedness) under the Senior Credit Facilities, the NXP Notes and the Existing Secured Notes unless:</w:t>
      </w:r>
    </w:p>
    <w:p>
      <w:pPr>
        <w:spacing w:after="0" w:line="73" w:lineRule="exact"/>
        <w:rPr>
          <w:sz w:val="20"/>
          <w:szCs w:val="20"/>
          <w:color w:val="auto"/>
        </w:rPr>
      </w:pPr>
    </w:p>
    <w:p>
      <w:pPr>
        <w:ind w:left="460" w:right="100" w:firstLine="443"/>
        <w:spacing w:after="0" w:line="257" w:lineRule="auto"/>
        <w:tabs>
          <w:tab w:leader="none" w:pos="115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such Restricted Subsidiary within 30 days executes and delivers a supplemental indenture to this Indenture, the form of which is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providing for a Guarantee by such Restricted Subsidiary, except that with respect to a guarantee of Indebtedness of the Issuer or any Guarantor, if such Indebtedness is by its express terms subordinated in right of payment to the Notes or such Guarantor’s Guarantee, any such guarantee by such Restricted Subsidiary with respect to such Indebtedness shall be subordinated in right of payment to such Guarantee substantially to the same extent as such Indebtedness is subordinated to the Notes;</w:t>
      </w:r>
    </w:p>
    <w:p>
      <w:pPr>
        <w:spacing w:after="0" w:line="80" w:lineRule="exact"/>
        <w:rPr>
          <w:rFonts w:ascii="Arial" w:cs="Arial" w:eastAsia="Arial" w:hAnsi="Arial"/>
          <w:sz w:val="18"/>
          <w:szCs w:val="18"/>
          <w:color w:val="auto"/>
        </w:rPr>
      </w:pPr>
    </w:p>
    <w:p>
      <w:pPr>
        <w:ind w:left="460" w:right="280" w:firstLine="443"/>
        <w:spacing w:after="0" w:line="264" w:lineRule="auto"/>
        <w:tabs>
          <w:tab w:leader="none" w:pos="115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such Restricted Subsidiary waives and shall not in any manner whatsoever claim or take the benefit or advantage of, any rights of reimbursement, indemnity or subrogation or any other rights against any Guarantor or any other Restricted Subsidiary as a result of any payment by such Person under its Guarantee or otherwise;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such Restricted Subsidiary shall deliver to the Trustee an Opinion of Counsel to the effect that: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285" w:name="page286"/>
    <w:bookmarkEnd w:id="285"/>
    <w:p>
      <w:pPr>
        <w:ind w:left="1620" w:hanging="299"/>
        <w:spacing w:after="0"/>
        <w:tabs>
          <w:tab w:leader="none" w:pos="16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Guarantee has been duly executed and authorized; and</w:t>
      </w:r>
    </w:p>
    <w:p>
      <w:pPr>
        <w:spacing w:after="0" w:line="117" w:lineRule="exact"/>
        <w:rPr>
          <w:rFonts w:ascii="Arial" w:cs="Arial" w:eastAsia="Arial" w:hAnsi="Arial"/>
          <w:sz w:val="18"/>
          <w:szCs w:val="18"/>
          <w:color w:val="auto"/>
        </w:rPr>
      </w:pPr>
    </w:p>
    <w:p>
      <w:pPr>
        <w:ind w:left="900" w:right="320" w:firstLine="421"/>
        <w:spacing w:after="0" w:line="264" w:lineRule="auto"/>
        <w:tabs>
          <w:tab w:leader="none" w:pos="160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such Guarantee constitutes a valid, binding and enforceable obligation of such Restricted Subsidiary, except insofar as enforcement thereof may be limited by bankruptcy, insolvency or similar laws (including, without limitation, all laws relating to fraudulent transfers) and except insofar as enforcement thereof is subject to general principles of equity.</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Suspension of Covenants</w:t>
      </w:r>
      <w:r>
        <w:rPr>
          <w:rFonts w:ascii="Arial" w:cs="Arial" w:eastAsia="Arial" w:hAnsi="Arial"/>
          <w:sz w:val="18"/>
          <w:szCs w:val="18"/>
          <w:color w:val="auto"/>
        </w:rPr>
        <w:t>.</w:t>
      </w:r>
    </w:p>
    <w:p>
      <w:pPr>
        <w:spacing w:after="0" w:line="117" w:lineRule="exact"/>
        <w:rPr>
          <w:sz w:val="20"/>
          <w:szCs w:val="20"/>
          <w:color w:val="auto"/>
        </w:rPr>
      </w:pPr>
    </w:p>
    <w:p>
      <w:pPr>
        <w:ind w:left="-20" w:right="140" w:firstLine="921"/>
        <w:spacing w:after="0" w:line="257" w:lineRule="auto"/>
        <w:tabs>
          <w:tab w:leader="none" w:pos="113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During any period of time that (i) the Notes have Investment Grade Ratings from both Rating Agencies and (ii) no Default has occurred and is continuing under this Indenture (the occurrence of the events described in the foregoing clauses (i) and (ii) being collectively referred to as a “</w:t>
      </w:r>
      <w:r>
        <w:rPr>
          <w:rFonts w:ascii="Arial" w:cs="Arial" w:eastAsia="Arial" w:hAnsi="Arial"/>
          <w:sz w:val="18"/>
          <w:szCs w:val="18"/>
          <w:u w:val="single" w:color="auto"/>
          <w:color w:val="auto"/>
        </w:rPr>
        <w:t>Covenant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Suspension Event</w:t>
      </w:r>
      <w:r>
        <w:rPr>
          <w:rFonts w:ascii="Arial" w:cs="Arial" w:eastAsia="Arial" w:hAnsi="Arial"/>
          <w:sz w:val="18"/>
          <w:szCs w:val="18"/>
          <w:color w:val="auto"/>
        </w:rPr>
        <w:t>” and the date thereof being referred to as the “</w:t>
      </w:r>
      <w:r>
        <w:rPr>
          <w:rFonts w:ascii="Arial" w:cs="Arial" w:eastAsia="Arial" w:hAnsi="Arial"/>
          <w:sz w:val="18"/>
          <w:szCs w:val="18"/>
          <w:u w:val="single" w:color="auto"/>
          <w:color w:val="auto"/>
        </w:rPr>
        <w:t>Suspension Date</w:t>
      </w:r>
      <w:r>
        <w:rPr>
          <w:rFonts w:ascii="Arial" w:cs="Arial" w:eastAsia="Arial" w:hAnsi="Arial"/>
          <w:sz w:val="18"/>
          <w:szCs w:val="18"/>
          <w:color w:val="auto"/>
        </w:rPr>
        <w:t>”) then, Section 4.07 hereof, Section 4.08 hereof, Section 4.09 hereof, Section 4.10 hereof, Section 4.11 hereof, clause (4) of Section 5.01(a) hereof and clause (4) of Section 5.01(c) hereof shall not be applicable to the Notes (collectively, the “</w:t>
      </w:r>
      <w:r>
        <w:rPr>
          <w:rFonts w:ascii="Arial" w:cs="Arial" w:eastAsia="Arial" w:hAnsi="Arial"/>
          <w:sz w:val="18"/>
          <w:szCs w:val="18"/>
          <w:u w:val="single" w:color="auto"/>
          <w:color w:val="auto"/>
        </w:rPr>
        <w:t>Suspended Covenants</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20" w:right="80" w:firstLine="921"/>
        <w:spacing w:after="0" w:line="277" w:lineRule="auto"/>
        <w:tabs>
          <w:tab w:leader="none" w:pos="114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During any period that the foregoing covenants have been suspended, the Company may not designate any of its Subsidiaries as Unrestricted Subsidiaries pursuant to the second sentence of the definition of “Unrestricted Subsidiary.”</w:t>
      </w:r>
    </w:p>
    <w:p>
      <w:pPr>
        <w:spacing w:after="0" w:line="62" w:lineRule="exact"/>
        <w:rPr>
          <w:rFonts w:ascii="Arial" w:cs="Arial" w:eastAsia="Arial" w:hAnsi="Arial"/>
          <w:sz w:val="18"/>
          <w:szCs w:val="18"/>
          <w:color w:val="auto"/>
        </w:rPr>
      </w:pPr>
    </w:p>
    <w:p>
      <w:pPr>
        <w:ind w:left="-20" w:right="60" w:firstLine="921"/>
        <w:spacing w:after="0" w:line="255" w:lineRule="auto"/>
        <w:tabs>
          <w:tab w:leader="none" w:pos="113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In the event that the Company and its Restricted Subsidiaries are not subject to the Suspended Covenants under this Indenture for any period of time as a result of the foregoing, and on any subsequent date (the “</w:t>
      </w:r>
      <w:r>
        <w:rPr>
          <w:rFonts w:ascii="Arial" w:cs="Arial" w:eastAsia="Arial" w:hAnsi="Arial"/>
          <w:sz w:val="18"/>
          <w:szCs w:val="18"/>
          <w:u w:val="single" w:color="auto"/>
          <w:color w:val="auto"/>
        </w:rPr>
        <w:t>Reversion Date</w:t>
      </w:r>
      <w:r>
        <w:rPr>
          <w:rFonts w:ascii="Arial" w:cs="Arial" w:eastAsia="Arial" w:hAnsi="Arial"/>
          <w:sz w:val="18"/>
          <w:szCs w:val="18"/>
          <w:color w:val="auto"/>
        </w:rPr>
        <w:t>”) one or both of the Rating Agencies withdraw their Investment Grade Rating or downgrade the rating assigned to the Notes below an Investment Grade Rating, then the Company and its Restricted Subsidiaries will thereafter again be subject to the Suspended Covenants under this Indenture with respect to future events. The period of time between the Suspension Date and the Reversion Date is referred to in this Section 4.16 as the “</w:t>
      </w:r>
      <w:r>
        <w:rPr>
          <w:rFonts w:ascii="Arial" w:cs="Arial" w:eastAsia="Arial" w:hAnsi="Arial"/>
          <w:sz w:val="18"/>
          <w:szCs w:val="18"/>
          <w:u w:val="single" w:color="auto"/>
          <w:color w:val="auto"/>
        </w:rPr>
        <w:t>Suspension Period</w:t>
      </w:r>
      <w:r>
        <w:rPr>
          <w:rFonts w:ascii="Arial" w:cs="Arial" w:eastAsia="Arial" w:hAnsi="Arial"/>
          <w:sz w:val="18"/>
          <w:szCs w:val="18"/>
          <w:color w:val="auto"/>
        </w:rPr>
        <w:t>.” Additionally, upon the occurrence of a Covenant Suspension Event, the amount of Excess Proceeds from Net Proceeds shall be reset to zero.</w:t>
      </w:r>
    </w:p>
    <w:p>
      <w:pPr>
        <w:spacing w:after="0" w:line="85" w:lineRule="exact"/>
        <w:rPr>
          <w:rFonts w:ascii="Arial" w:cs="Arial" w:eastAsia="Arial" w:hAnsi="Arial"/>
          <w:sz w:val="18"/>
          <w:szCs w:val="18"/>
          <w:color w:val="auto"/>
        </w:rPr>
      </w:pPr>
    </w:p>
    <w:p>
      <w:pPr>
        <w:ind w:left="-20" w:right="200" w:firstLine="921"/>
        <w:spacing w:after="0" w:line="255" w:lineRule="auto"/>
        <w:tabs>
          <w:tab w:leader="none" w:pos="114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During any Suspension Period, the Company will not, and will not permit any Restricted Subsidiary to, enter into any Sale and Lease-Back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or any Restricted Subsidiary may enter into a Sale and Lease-Back Transaction if (i) the Company or such Restricted Subsidiary could have incurred a Lien to secure the Indebtedness attributable to such Sale and Lease-Back Transaction pursuant to Section 4.12 hereof without equally and ratably securing the Notes pursuant to the covenant described under such section; and (ii) the consideration received by the Company or such Restricted Subsidiary in that Sale and Lease-Back Transaction is at least equal to the fair market value of the property sold and otherwise complies with Section 4.10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foregoing provisions shall cease to apply on and subsequent to the Reversion Date following such Suspension Period.</w:t>
      </w:r>
    </w:p>
    <w:p>
      <w:pPr>
        <w:spacing w:after="0" w:line="81" w:lineRule="exact"/>
        <w:rPr>
          <w:rFonts w:ascii="Arial" w:cs="Arial" w:eastAsia="Arial" w:hAnsi="Arial"/>
          <w:sz w:val="18"/>
          <w:szCs w:val="18"/>
          <w:color w:val="auto"/>
        </w:rPr>
      </w:pPr>
    </w:p>
    <w:p>
      <w:pPr>
        <w:ind w:left="-20" w:firstLine="921"/>
        <w:spacing w:after="0" w:line="272" w:lineRule="auto"/>
        <w:tabs>
          <w:tab w:leader="none" w:pos="1138"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Notwithstanding the foregoing, in the event of any such reinstatement, no action taken or omitted to be taken by the Company or any of its Restricted Subsidiaries prior to such reinstatement will give rise to a Default or Event of Default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with respect to Restricted Payments made after such reinstatement, the amount of Restricted Payments made will be calculated as though Section 4.07 had been in effect prior to, but not during, the Suspension Period; and (2) all Indebtedness incurred, or Disqualified Stock issued, during the Suspension Period will be classified to have been incurred or issued pursuant to Section 4.09(b)(3). In addition, for purposes of clause (3) of Section 4.07(a) hereof, all events set forth in such clause (3) occurring during a Suspension Period shall be disregarded for purposes of determining the amount of Restricted Payments the Company or any Restricted Subsidiary is permitted to make pursuant to such clause (3).</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60" w:top="274" w:right="259" w:bottom="1440" w:gutter="0" w:footer="0" w:header="0"/>
        </w:sectPr>
      </w:pPr>
    </w:p>
    <w:bookmarkStart w:id="286" w:name="page287"/>
    <w:bookmarkEnd w:id="28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 The Issuer shall deliver promptly to the Trustee an Officer’s Certificate of the Issuer notifying it of any event set forth under this Section 4.16.</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Merger, Consolidation or Sale of All or Substantially All Assets</w:t>
      </w:r>
      <w:r>
        <w:rPr>
          <w:rFonts w:ascii="Arial" w:cs="Arial" w:eastAsia="Arial" w:hAnsi="Arial"/>
          <w:sz w:val="18"/>
          <w:szCs w:val="18"/>
          <w:color w:val="auto"/>
        </w:rPr>
        <w:t>.</w:t>
      </w:r>
    </w:p>
    <w:p>
      <w:pPr>
        <w:spacing w:after="0" w:line="117" w:lineRule="exact"/>
        <w:rPr>
          <w:sz w:val="20"/>
          <w:szCs w:val="20"/>
          <w:color w:val="auto"/>
        </w:rPr>
      </w:pPr>
    </w:p>
    <w:p>
      <w:pPr>
        <w:ind w:right="180" w:firstLine="921"/>
        <w:spacing w:after="0" w:line="342" w:lineRule="auto"/>
        <w:tabs>
          <w:tab w:leader="none" w:pos="1158" w:val="left"/>
        </w:tabs>
        <w:numPr>
          <w:ilvl w:val="1"/>
          <w:numId w:val="467"/>
        </w:numPr>
        <w:rPr>
          <w:rFonts w:ascii="Arial" w:cs="Arial" w:eastAsia="Arial" w:hAnsi="Arial"/>
          <w:sz w:val="16"/>
          <w:szCs w:val="16"/>
          <w:color w:val="auto"/>
        </w:rPr>
      </w:pPr>
      <w:r>
        <w:rPr>
          <w:rFonts w:ascii="Arial" w:cs="Arial" w:eastAsia="Arial" w:hAnsi="Arial"/>
          <w:sz w:val="16"/>
          <w:szCs w:val="16"/>
          <w:color w:val="auto"/>
        </w:rPr>
        <w:t>The Issuer may not consolidate or merge with or into or wind up into (whether or not the Issuer is the surviving corporation), or sell, assign, transfer, lease, convey or otherwise dispose of all or substantially all of its properties or assets, in one or more related transactions, to any Person unless:</w:t>
      </w:r>
    </w:p>
    <w:p>
      <w:pPr>
        <w:spacing w:after="0" w:line="15" w:lineRule="exact"/>
        <w:rPr>
          <w:rFonts w:ascii="Arial" w:cs="Arial" w:eastAsia="Arial" w:hAnsi="Arial"/>
          <w:sz w:val="16"/>
          <w:szCs w:val="16"/>
          <w:color w:val="auto"/>
        </w:rPr>
      </w:pPr>
    </w:p>
    <w:p>
      <w:pPr>
        <w:ind w:left="460" w:right="160" w:firstLine="443"/>
        <w:spacing w:after="0" w:line="255" w:lineRule="auto"/>
        <w:tabs>
          <w:tab w:leader="none" w:pos="1153"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Issuer is the surviving corporation or the Person formed by or surviving any such consolidation or merger (if other than the Issuer) or to which such sale, assignment, transfer, lease, conveyance or other disposition will have been made, is a Person organized or existing under the laws of the jurisdiction of organization of the Issuer or the laws of the United States, any state thereof, the District of Columbia, any member state of the European Union on January 1, 2014, Canada or any province of Canada, Norway, Switzerland, Bermuda or any territory thereof (such Person, as the case may be, being herein called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where the surviving Person is not a corporation, a co-obligor of the Notes is a corporation;</w:t>
      </w:r>
    </w:p>
    <w:p>
      <w:pPr>
        <w:spacing w:after="0" w:line="85" w:lineRule="exact"/>
        <w:rPr>
          <w:rFonts w:ascii="Arial" w:cs="Arial" w:eastAsia="Arial" w:hAnsi="Arial"/>
          <w:sz w:val="18"/>
          <w:szCs w:val="18"/>
          <w:color w:val="auto"/>
        </w:rPr>
      </w:pPr>
    </w:p>
    <w:p>
      <w:pPr>
        <w:ind w:left="460" w:right="40" w:firstLine="443"/>
        <w:spacing w:after="0" w:line="255" w:lineRule="auto"/>
        <w:tabs>
          <w:tab w:leader="none" w:pos="1153"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Successor Company, if other than the Issuer, expressly assumes all the obligations of the Issuer under this Indenture and the Notes pursuant to supplemental indentures or other documents or instruments and the performance of the covenants and obligations of the Issuer under the Collateral Documents relating to the Notes and shall cause such amendments, supplements, or other instruments to be executed, filed and recorded in such jurisdictions as may be required by applicable law to preserve and protect the Lien on the Collateral owned by or transferred to the Successor Company, together with such financing statements or comparable documents as may be required to perfect any security interests in such Collateral which may be perfected by the filing of a financing statement or a similar document under the UCC or other similar statute or regulation of the relevant states or jurisdictions;</w:t>
      </w:r>
    </w:p>
    <w:p>
      <w:pPr>
        <w:spacing w:after="0" w:line="81" w:lineRule="exact"/>
        <w:rPr>
          <w:rFonts w:ascii="Arial" w:cs="Arial" w:eastAsia="Arial" w:hAnsi="Arial"/>
          <w:sz w:val="18"/>
          <w:szCs w:val="18"/>
          <w:color w:val="auto"/>
        </w:rPr>
      </w:pPr>
    </w:p>
    <w:p>
      <w:pPr>
        <w:ind w:left="1160" w:hanging="257"/>
        <w:spacing w:after="0"/>
        <w:tabs>
          <w:tab w:leader="none" w:pos="11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immediately after such transaction, no Default exists;</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468"/>
        </w:numPr>
        <w:rPr>
          <w:rFonts w:ascii="Arial" w:cs="Arial" w:eastAsia="Arial" w:hAnsi="Arial"/>
          <w:sz w:val="18"/>
          <w:szCs w:val="18"/>
          <w:color w:val="auto"/>
        </w:rPr>
      </w:pPr>
      <w:r>
        <w:rPr>
          <w:rFonts w:ascii="Arial" w:cs="Arial" w:eastAsia="Arial" w:hAnsi="Arial"/>
          <w:sz w:val="18"/>
          <w:szCs w:val="18"/>
          <w:color w:val="auto"/>
        </w:rPr>
        <w:t xml:space="preserve">immediately after giving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forma effect to such transaction and any related financing transactions, as if such transactions had occurred at the beginning of the applicable four-quarter period,</w:t>
      </w:r>
    </w:p>
    <w:p>
      <w:pPr>
        <w:spacing w:after="0" w:line="62" w:lineRule="exact"/>
        <w:rPr>
          <w:rFonts w:ascii="Arial" w:cs="Arial" w:eastAsia="Arial" w:hAnsi="Arial"/>
          <w:sz w:val="18"/>
          <w:szCs w:val="18"/>
          <w:color w:val="auto"/>
        </w:rPr>
      </w:pPr>
    </w:p>
    <w:p>
      <w:pPr>
        <w:ind w:left="920" w:firstLine="421"/>
        <w:spacing w:after="0" w:line="277" w:lineRule="auto"/>
        <w:tabs>
          <w:tab w:leader="none" w:pos="1635" w:val="left"/>
        </w:tabs>
        <w:numPr>
          <w:ilvl w:val="2"/>
          <w:numId w:val="468"/>
        </w:numPr>
        <w:rPr>
          <w:rFonts w:ascii="Arial" w:cs="Arial" w:eastAsia="Arial" w:hAnsi="Arial"/>
          <w:sz w:val="18"/>
          <w:szCs w:val="18"/>
          <w:color w:val="auto"/>
        </w:rPr>
      </w:pPr>
      <w:r>
        <w:rPr>
          <w:rFonts w:ascii="Arial" w:cs="Arial" w:eastAsia="Arial" w:hAnsi="Arial"/>
          <w:sz w:val="18"/>
          <w:szCs w:val="18"/>
          <w:color w:val="auto"/>
        </w:rPr>
        <w:t>the Successor Company or the Issuer would be permitted to incur at least $1.00 of additional Indebtedness pursuant to the Fixed Charge Coverage Test set forth in Section 4.09(a) hereof, or</w:t>
      </w:r>
    </w:p>
    <w:p>
      <w:pPr>
        <w:spacing w:after="0" w:line="62" w:lineRule="exact"/>
        <w:rPr>
          <w:rFonts w:ascii="Arial" w:cs="Arial" w:eastAsia="Arial" w:hAnsi="Arial"/>
          <w:sz w:val="18"/>
          <w:szCs w:val="18"/>
          <w:color w:val="auto"/>
        </w:rPr>
      </w:pPr>
    </w:p>
    <w:p>
      <w:pPr>
        <w:ind w:left="920" w:right="140" w:firstLine="421"/>
        <w:spacing w:after="0" w:line="277" w:lineRule="auto"/>
        <w:tabs>
          <w:tab w:leader="none" w:pos="1625" w:val="left"/>
        </w:tabs>
        <w:numPr>
          <w:ilvl w:val="2"/>
          <w:numId w:val="468"/>
        </w:numPr>
        <w:rPr>
          <w:rFonts w:ascii="Arial" w:cs="Arial" w:eastAsia="Arial" w:hAnsi="Arial"/>
          <w:sz w:val="18"/>
          <w:szCs w:val="18"/>
          <w:color w:val="auto"/>
        </w:rPr>
      </w:pPr>
      <w:r>
        <w:rPr>
          <w:rFonts w:ascii="Arial" w:cs="Arial" w:eastAsia="Arial" w:hAnsi="Arial"/>
          <w:sz w:val="18"/>
          <w:szCs w:val="18"/>
          <w:color w:val="auto"/>
        </w:rPr>
        <w:t>the Fixed Charge Coverage Ratio for the Company and the Restricted Subsidiaries would be equal to or greater than the Fixed Charge Coverage Ratio for the Company and its Restricted Subsidiaries immediately prior to such transaction;</w:t>
      </w:r>
    </w:p>
    <w:p>
      <w:pPr>
        <w:spacing w:after="0" w:line="62" w:lineRule="exact"/>
        <w:rPr>
          <w:rFonts w:ascii="Arial" w:cs="Arial" w:eastAsia="Arial" w:hAnsi="Arial"/>
          <w:sz w:val="18"/>
          <w:szCs w:val="18"/>
          <w:color w:val="auto"/>
        </w:rPr>
      </w:pPr>
    </w:p>
    <w:p>
      <w:pPr>
        <w:ind w:left="460" w:right="200" w:firstLine="443"/>
        <w:spacing w:after="0" w:line="342" w:lineRule="auto"/>
        <w:tabs>
          <w:tab w:leader="none" w:pos="1153" w:val="left"/>
        </w:tabs>
        <w:numPr>
          <w:ilvl w:val="0"/>
          <w:numId w:val="468"/>
        </w:numPr>
        <w:rPr>
          <w:rFonts w:ascii="Arial" w:cs="Arial" w:eastAsia="Arial" w:hAnsi="Arial"/>
          <w:sz w:val="16"/>
          <w:szCs w:val="16"/>
          <w:color w:val="auto"/>
        </w:rPr>
      </w:pPr>
      <w:r>
        <w:rPr>
          <w:rFonts w:ascii="Arial" w:cs="Arial" w:eastAsia="Arial" w:hAnsi="Arial"/>
          <w:sz w:val="16"/>
          <w:szCs w:val="16"/>
          <w:color w:val="auto"/>
        </w:rPr>
        <w:t>each Guarantor, unless it is the other party to the transactions described above, in which case Section 5.01(e)(1) (B) hereof shall apply, shall have by supplemental indenture confirmed that its Guarantee shall apply to such Person’s obligations under this Indenture and the Notes;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287" w:name="page288"/>
    <w:bookmarkEnd w:id="287"/>
    <w:p>
      <w:pPr>
        <w:ind w:left="440" w:right="120" w:firstLine="443"/>
        <w:spacing w:after="0" w:line="277" w:lineRule="auto"/>
        <w:tabs>
          <w:tab w:leader="none" w:pos="1133" w:val="left"/>
        </w:tabs>
        <w:numPr>
          <w:ilvl w:val="0"/>
          <w:numId w:val="4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shall have delivered to the Trustee an Officer’s Certificate and an Opinion of Counsel, each stating that such consolidation, merger or transfer and such supplemental indentures, if any, comply with this Indenture.</w:t>
      </w:r>
    </w:p>
    <w:p>
      <w:pPr>
        <w:spacing w:after="0" w:line="62" w:lineRule="exact"/>
        <w:rPr>
          <w:rFonts w:ascii="Arial" w:cs="Arial" w:eastAsia="Arial" w:hAnsi="Arial"/>
          <w:sz w:val="18"/>
          <w:szCs w:val="18"/>
          <w:color w:val="auto"/>
        </w:rPr>
      </w:pPr>
    </w:p>
    <w:p>
      <w:pPr>
        <w:ind w:left="-20" w:right="180" w:firstLine="921"/>
        <w:spacing w:after="0" w:line="277" w:lineRule="auto"/>
        <w:tabs>
          <w:tab w:leader="none" w:pos="1148"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Successor Company will succeed to, and be substituted for the Issuer under this Indenture, the Guarantees and the Notes, as applicable. Notwithstanding clauses (3) and (4) of Section 5.01(a) hereof,</w:t>
      </w:r>
    </w:p>
    <w:p>
      <w:pPr>
        <w:spacing w:after="0" w:line="62" w:lineRule="exact"/>
        <w:rPr>
          <w:sz w:val="20"/>
          <w:szCs w:val="20"/>
          <w:color w:val="auto"/>
        </w:rPr>
      </w:pPr>
    </w:p>
    <w:p>
      <w:pPr>
        <w:ind w:left="1140" w:hanging="257"/>
        <w:spacing w:after="0"/>
        <w:tabs>
          <w:tab w:leader="none" w:pos="11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any Restricted Subsidiary may consolidate with or merge into or transfer all or part of its properties and assets to the Issuer, and</w:t>
      </w:r>
    </w:p>
    <w:p>
      <w:pPr>
        <w:spacing w:after="0" w:line="117" w:lineRule="exact"/>
        <w:rPr>
          <w:rFonts w:ascii="Arial" w:cs="Arial" w:eastAsia="Arial" w:hAnsi="Arial"/>
          <w:sz w:val="18"/>
          <w:szCs w:val="18"/>
          <w:color w:val="auto"/>
        </w:rPr>
      </w:pPr>
    </w:p>
    <w:p>
      <w:pPr>
        <w:ind w:left="440" w:right="360" w:firstLine="443"/>
        <w:spacing w:after="0" w:line="312" w:lineRule="auto"/>
        <w:tabs>
          <w:tab w:leader="none" w:pos="1133" w:val="left"/>
        </w:tabs>
        <w:numPr>
          <w:ilvl w:val="0"/>
          <w:numId w:val="470"/>
        </w:numPr>
        <w:rPr>
          <w:rFonts w:ascii="Arial" w:cs="Arial" w:eastAsia="Arial" w:hAnsi="Arial"/>
          <w:sz w:val="16"/>
          <w:szCs w:val="16"/>
          <w:color w:val="auto"/>
        </w:rPr>
      </w:pPr>
      <w:r>
        <w:rPr>
          <w:rFonts w:ascii="Arial" w:cs="Arial" w:eastAsia="Arial" w:hAnsi="Arial"/>
          <w:sz w:val="16"/>
          <w:szCs w:val="16"/>
          <w:color w:val="auto"/>
        </w:rPr>
        <w:t>the Issuer may merge with an Affiliate of the Issuer solely for the purpose of reincorporating the Issuer in a State of the United States, the District of Columbia, any member state of the European Union on January 1, 2014, Canada or any province of Canada, Norway or Switzerland, Bermuda or any territory thereof so long as the amount of Indebtedness of the Company and its Restricted Subsidiaries is not increased thereby.</w:t>
      </w:r>
    </w:p>
    <w:p>
      <w:pPr>
        <w:spacing w:after="0" w:line="38" w:lineRule="exact"/>
        <w:rPr>
          <w:rFonts w:ascii="Arial" w:cs="Arial" w:eastAsia="Arial" w:hAnsi="Arial"/>
          <w:sz w:val="16"/>
          <w:szCs w:val="16"/>
          <w:color w:val="auto"/>
        </w:rPr>
      </w:pPr>
    </w:p>
    <w:p>
      <w:pPr>
        <w:ind w:left="-20" w:right="740" w:firstLine="921"/>
        <w:spacing w:after="0" w:line="264" w:lineRule="auto"/>
        <w:tabs>
          <w:tab w:leader="none" w:pos="1138" w:val="left"/>
        </w:tabs>
        <w:numPr>
          <w:ilvl w:val="1"/>
          <w:numId w:val="470"/>
        </w:numPr>
        <w:rPr>
          <w:rFonts w:ascii="Arial" w:cs="Arial" w:eastAsia="Arial" w:hAnsi="Arial"/>
          <w:sz w:val="18"/>
          <w:szCs w:val="18"/>
          <w:color w:val="auto"/>
        </w:rPr>
      </w:pPr>
      <w:r>
        <w:rPr>
          <w:rFonts w:ascii="Arial" w:cs="Arial" w:eastAsia="Arial" w:hAnsi="Arial"/>
          <w:sz w:val="18"/>
          <w:szCs w:val="18"/>
          <w:color w:val="auto"/>
        </w:rPr>
        <w:t>The Company may not consolidate, amalgamate or merge with or into or wind up into (whether or not the Company is the surviving corporation), or sell, assign, transfer, lease, convey or otherwise dispose of all or substantially all of its properties or assets, in one or more related transactions, to any Person unless:</w:t>
      </w:r>
    </w:p>
    <w:p>
      <w:pPr>
        <w:spacing w:after="0" w:line="73" w:lineRule="exact"/>
        <w:rPr>
          <w:sz w:val="20"/>
          <w:szCs w:val="20"/>
          <w:color w:val="auto"/>
        </w:rPr>
      </w:pPr>
    </w:p>
    <w:p>
      <w:pPr>
        <w:ind w:left="440" w:right="20" w:firstLine="443"/>
        <w:spacing w:after="0" w:line="276" w:lineRule="auto"/>
        <w:tabs>
          <w:tab w:leader="none" w:pos="1133" w:val="left"/>
        </w:tabs>
        <w:numPr>
          <w:ilvl w:val="0"/>
          <w:numId w:val="471"/>
        </w:numPr>
        <w:rPr>
          <w:rFonts w:ascii="Arial" w:cs="Arial" w:eastAsia="Arial" w:hAnsi="Arial"/>
          <w:sz w:val="17"/>
          <w:szCs w:val="17"/>
          <w:color w:val="auto"/>
        </w:rPr>
      </w:pPr>
      <w:r>
        <w:rPr>
          <w:rFonts w:ascii="Arial" w:cs="Arial" w:eastAsia="Arial" w:hAnsi="Arial"/>
          <w:sz w:val="17"/>
          <w:szCs w:val="17"/>
          <w:color w:val="auto"/>
        </w:rPr>
        <w:t>the Company is the surviving corporation or the Person formed by or surviving any such consolidation, amalgamation or merger (if other than the Company) or to which such sale, assignment, transfer, lease, conveyance or other disposition will have been made, is a Person organized or existing under the laws of the jurisdiction of organization of the Company or the laws of the United States, any state thereof, the District of Columbia, any member state of the European Union on January 1, 2014, Canada or any province of Canada, Norway, Switzerland, Bermuda or any territory thereof (such Person, as the case may be, being herein called the “</w:t>
      </w:r>
      <w:r>
        <w:rPr>
          <w:rFonts w:ascii="Arial" w:cs="Arial" w:eastAsia="Arial" w:hAnsi="Arial"/>
          <w:sz w:val="17"/>
          <w:szCs w:val="17"/>
          <w:u w:val="single" w:color="auto"/>
          <w:color w:val="auto"/>
        </w:rPr>
        <w:t>Successor Guarantor</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440" w:right="20" w:firstLine="443"/>
        <w:spacing w:after="0" w:line="255" w:lineRule="auto"/>
        <w:tabs>
          <w:tab w:leader="none" w:pos="1133"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Successor Guarantor, if other than the Company, expressly assumes all the obligations of the Company under this Indenture and the Notes pursuant to supplemental indentures or other documents or instruments and the performance of the covenants and obligations of the Company under the Collateral Documents relating to the Notes and shall cause such amendments, supplements, or other instruments to be executed, filed and recorded in such jurisdictions as may be required by applicable law to preserve and protect the Lien on the Collateral owned by or transferred to the Successor Guarantor, together with such financing statements or comparable documents as may be required to perfect any security interests in such Collateral which may be perfected by the filing of a financing statement or a similar document under the UCC or other similar statute or regulation of the relevant states or jurisdictions;</w:t>
      </w:r>
    </w:p>
    <w:p>
      <w:pPr>
        <w:spacing w:after="0" w:line="81" w:lineRule="exact"/>
        <w:rPr>
          <w:rFonts w:ascii="Arial" w:cs="Arial" w:eastAsia="Arial" w:hAnsi="Arial"/>
          <w:sz w:val="18"/>
          <w:szCs w:val="18"/>
          <w:color w:val="auto"/>
        </w:rPr>
      </w:pPr>
    </w:p>
    <w:p>
      <w:pPr>
        <w:ind w:left="1140" w:hanging="257"/>
        <w:spacing w:after="0"/>
        <w:tabs>
          <w:tab w:leader="none" w:pos="114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immediately after such transaction, no Default exists;</w:t>
      </w:r>
    </w:p>
    <w:p>
      <w:pPr>
        <w:spacing w:after="0" w:line="117" w:lineRule="exact"/>
        <w:rPr>
          <w:rFonts w:ascii="Arial" w:cs="Arial" w:eastAsia="Arial" w:hAnsi="Arial"/>
          <w:sz w:val="18"/>
          <w:szCs w:val="18"/>
          <w:color w:val="auto"/>
        </w:rPr>
      </w:pPr>
    </w:p>
    <w:p>
      <w:pPr>
        <w:ind w:left="440" w:firstLine="443"/>
        <w:spacing w:after="0" w:line="277" w:lineRule="auto"/>
        <w:tabs>
          <w:tab w:leader="none" w:pos="1133" w:val="left"/>
        </w:tabs>
        <w:numPr>
          <w:ilvl w:val="0"/>
          <w:numId w:val="471"/>
        </w:numPr>
        <w:rPr>
          <w:rFonts w:ascii="Arial" w:cs="Arial" w:eastAsia="Arial" w:hAnsi="Arial"/>
          <w:sz w:val="18"/>
          <w:szCs w:val="18"/>
          <w:color w:val="auto"/>
        </w:rPr>
      </w:pPr>
      <w:r>
        <w:rPr>
          <w:rFonts w:ascii="Arial" w:cs="Arial" w:eastAsia="Arial" w:hAnsi="Arial"/>
          <w:sz w:val="18"/>
          <w:szCs w:val="18"/>
          <w:color w:val="auto"/>
        </w:rPr>
        <w:t xml:space="preserve">immediately after giving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forma effect to such transaction and any related financing transactions, as if such transactions had occurred at the beginning of the applicable four-quarter period,</w:t>
      </w:r>
    </w:p>
    <w:p>
      <w:pPr>
        <w:spacing w:after="0" w:line="62" w:lineRule="exact"/>
        <w:rPr>
          <w:rFonts w:ascii="Arial" w:cs="Arial" w:eastAsia="Arial" w:hAnsi="Arial"/>
          <w:sz w:val="18"/>
          <w:szCs w:val="18"/>
          <w:color w:val="auto"/>
        </w:rPr>
      </w:pPr>
    </w:p>
    <w:p>
      <w:pPr>
        <w:ind w:left="900" w:right="260" w:firstLine="421"/>
        <w:spacing w:after="0" w:line="277" w:lineRule="auto"/>
        <w:tabs>
          <w:tab w:leader="none" w:pos="1615"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Successor Guarantor or the Company would be permitted to incur at least $1.00 of additional Indebtedness pursuant to the Fixed Charge Coverage Test set forth in Section 4.09(a) hereof, or</w:t>
      </w:r>
    </w:p>
    <w:p>
      <w:pPr>
        <w:spacing w:after="0" w:line="62" w:lineRule="exact"/>
        <w:rPr>
          <w:rFonts w:ascii="Arial" w:cs="Arial" w:eastAsia="Arial" w:hAnsi="Arial"/>
          <w:sz w:val="18"/>
          <w:szCs w:val="18"/>
          <w:color w:val="auto"/>
        </w:rPr>
      </w:pPr>
    </w:p>
    <w:p>
      <w:pPr>
        <w:jc w:val="both"/>
        <w:ind w:left="900" w:right="80" w:firstLine="421"/>
        <w:spacing w:after="0" w:line="264" w:lineRule="auto"/>
        <w:tabs>
          <w:tab w:leader="none" w:pos="1605"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Fixed Charge Coverage Ratio for the Successor Guarantor or the Company, as applicable, and the Restricted Subsidiaries would be equal to or greater than the Fixed Charge Coverage Ratio for the Company and its Restricted Subsidiaries immediately prior to such transaction;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60" w:top="274" w:right="239" w:bottom="1440" w:gutter="0" w:footer="0" w:header="0"/>
        </w:sectPr>
      </w:pPr>
    </w:p>
    <w:bookmarkStart w:id="288" w:name="page289"/>
    <w:bookmarkEnd w:id="288"/>
    <w:p>
      <w:pPr>
        <w:ind w:left="460" w:right="400" w:firstLine="443"/>
        <w:spacing w:after="0" w:line="277" w:lineRule="auto"/>
        <w:tabs>
          <w:tab w:leader="none" w:pos="1153" w:val="left"/>
        </w:tabs>
        <w:numPr>
          <w:ilvl w:val="0"/>
          <w:numId w:val="4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have delivered to the Trustee an Officer’s Certificate and an Opinion of Counsel, each stating that such consolidation, amalgamation, merger or transfer and such supplemental indentures, if any, comply with this Indenture.</w:t>
      </w:r>
    </w:p>
    <w:p>
      <w:pPr>
        <w:spacing w:after="0" w:line="62" w:lineRule="exact"/>
        <w:rPr>
          <w:rFonts w:ascii="Arial" w:cs="Arial" w:eastAsia="Arial" w:hAnsi="Arial"/>
          <w:sz w:val="18"/>
          <w:szCs w:val="18"/>
          <w:color w:val="auto"/>
        </w:rPr>
      </w:pPr>
    </w:p>
    <w:p>
      <w:pPr>
        <w:ind w:right="840" w:firstLine="921"/>
        <w:spacing w:after="0" w:line="277" w:lineRule="auto"/>
        <w:tabs>
          <w:tab w:leader="none" w:pos="1168"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 Successor Guarantor, if other than the Company, will succeed to, and be substituted for the Company under this Indenture, the Guarantees and the Notes, as applicable. Notwithstanding the clauses (3) and (4) of Section 5.01(c) hereof,</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 any Restricted Subsidiary may consolidate or amalgamate with or merge into or transfer all or part of its properties and assets to the Company,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60" w:right="100" w:firstLine="443"/>
        <w:spacing w:after="0" w:line="259" w:lineRule="auto"/>
        <w:tabs>
          <w:tab w:leader="none" w:pos="115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Company may amalgamate or merge with its Affiliate solely for the purpose of reincorporating the Company in another jurisdiction (regardless of clause (1) of paragraph (c) above) so long as the amount of Indebtedness of the Company and its Restricted Subsidiaries is not increased thereby and so long as the surviving entity (if not the Company) assumes all of the Company’s obligations under this Indenture, the Notes and its Guarantee in connection with such reincorporation.</w:t>
      </w:r>
    </w:p>
    <w:p>
      <w:pPr>
        <w:spacing w:after="0" w:line="78" w:lineRule="exact"/>
        <w:rPr>
          <w:rFonts w:ascii="Arial" w:cs="Arial" w:eastAsia="Arial" w:hAnsi="Arial"/>
          <w:sz w:val="18"/>
          <w:szCs w:val="18"/>
          <w:color w:val="auto"/>
        </w:rPr>
      </w:pPr>
    </w:p>
    <w:p>
      <w:pPr>
        <w:jc w:val="both"/>
        <w:ind w:right="320" w:firstLine="921"/>
        <w:spacing w:after="0" w:line="259" w:lineRule="auto"/>
        <w:tabs>
          <w:tab w:leader="none" w:pos="1158" w:val="left"/>
        </w:tabs>
        <w:numPr>
          <w:ilvl w:val="1"/>
          <w:numId w:val="473"/>
        </w:numPr>
        <w:rPr>
          <w:rFonts w:ascii="Arial" w:cs="Arial" w:eastAsia="Arial" w:hAnsi="Arial"/>
          <w:sz w:val="18"/>
          <w:szCs w:val="18"/>
          <w:color w:val="auto"/>
        </w:rPr>
      </w:pPr>
      <w:r>
        <w:rPr>
          <w:rFonts w:ascii="Arial" w:cs="Arial" w:eastAsia="Arial" w:hAnsi="Arial"/>
          <w:sz w:val="18"/>
          <w:szCs w:val="18"/>
          <w:color w:val="auto"/>
        </w:rPr>
        <w:t>Subject to Section 10.06 hereof, no Guarantor (other than the Company, subject to Section 5.01(c) above) will, and the Company will not permit any such Guarantor to, consolidate, amalgamate or merge with or into or wind up into (whether or not the Issuer or such Guarantor is the surviving corporation), or sell, assign, transfer, lease, convey or otherwise dispose of all or substantially all of its properties or assets, in one or more related transactions, to any Person unless:</w:t>
      </w:r>
    </w:p>
    <w:p>
      <w:pPr>
        <w:spacing w:after="0" w:line="79" w:lineRule="exact"/>
        <w:rPr>
          <w:sz w:val="20"/>
          <w:szCs w:val="20"/>
          <w:color w:val="auto"/>
        </w:rPr>
      </w:pPr>
    </w:p>
    <w:p>
      <w:pPr>
        <w:ind w:left="460" w:right="40" w:firstLine="443"/>
        <w:spacing w:after="0" w:line="276" w:lineRule="auto"/>
        <w:tabs>
          <w:tab w:leader="none" w:pos="1153" w:val="left"/>
        </w:tabs>
        <w:numPr>
          <w:ilvl w:val="0"/>
          <w:numId w:val="474"/>
        </w:numPr>
        <w:rPr>
          <w:rFonts w:ascii="Arial" w:cs="Arial" w:eastAsia="Arial" w:hAnsi="Arial"/>
          <w:sz w:val="17"/>
          <w:szCs w:val="17"/>
          <w:color w:val="auto"/>
        </w:rPr>
      </w:pPr>
      <w:r>
        <w:rPr>
          <w:rFonts w:ascii="Arial" w:cs="Arial" w:eastAsia="Arial" w:hAnsi="Arial"/>
          <w:sz w:val="17"/>
          <w:szCs w:val="17"/>
          <w:color w:val="auto"/>
        </w:rPr>
        <w:t>(A) such Guarantor is the surviving corporation or the Person formed by or surviving any such consolidation, amalgamation or merger (if other than such Guarantor) or to which such sale, assignment, transfer, lease, conveyance or other disposition will have been made is a Person organized or existing under the laws of the jurisdiction of organization of such Guarantor, as the case may be, or the laws of the United States, any state thereof, the District of Columbia, any member state of the European Union on January 1, 2014, Canada or any province of Canada, Norway, Switzerland, Bermuda or any territory thereof (such Person being herein called the “</w:t>
      </w:r>
      <w:r>
        <w:rPr>
          <w:rFonts w:ascii="Arial" w:cs="Arial" w:eastAsia="Arial" w:hAnsi="Arial"/>
          <w:sz w:val="17"/>
          <w:szCs w:val="17"/>
          <w:u w:val="single" w:color="auto"/>
          <w:color w:val="auto"/>
        </w:rPr>
        <w:t>Successor Person</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920" w:firstLine="421"/>
        <w:spacing w:after="0" w:line="272" w:lineRule="auto"/>
        <w:tabs>
          <w:tab w:leader="none" w:pos="1625" w:val="left"/>
        </w:tabs>
        <w:numPr>
          <w:ilvl w:val="1"/>
          <w:numId w:val="474"/>
        </w:numPr>
        <w:rPr>
          <w:rFonts w:ascii="Arial" w:cs="Arial" w:eastAsia="Arial" w:hAnsi="Arial"/>
          <w:sz w:val="17"/>
          <w:szCs w:val="17"/>
          <w:color w:val="auto"/>
        </w:rPr>
      </w:pPr>
      <w:r>
        <w:rPr>
          <w:rFonts w:ascii="Arial" w:cs="Arial" w:eastAsia="Arial" w:hAnsi="Arial"/>
          <w:sz w:val="17"/>
          <w:szCs w:val="17"/>
          <w:color w:val="auto"/>
        </w:rPr>
        <w:t>the Successor Person, if other than such Guarantor, expressly assumes all the obligations of such Guarantor under this Indenture and such Guarantor’s related Guarantee pursuant to supplemental indentures or other documents or instruments and the performance of the covenants and obligations of such Guarantor under the Collateral Documents relating to the Notes and shall cause such amendments, supplements, or other instruments to be executed, filed and recorded in such jurisdictions as may be required by applicable law to preserve and protect the Lien on the Collateral owned by or transferred to the Successor Person, together with such financing statements or comparable documents as may be required to perfect any security interests in such Collateral which may be perfected by the filing of a financing statement or a similar document under the UCC or other similar statute or regulation of the relevant states or jurisdictions;</w:t>
      </w:r>
    </w:p>
    <w:p>
      <w:pPr>
        <w:spacing w:after="0" w:line="69" w:lineRule="exact"/>
        <w:rPr>
          <w:rFonts w:ascii="Arial" w:cs="Arial" w:eastAsia="Arial" w:hAnsi="Arial"/>
          <w:sz w:val="17"/>
          <w:szCs w:val="17"/>
          <w:color w:val="auto"/>
        </w:rPr>
      </w:pPr>
    </w:p>
    <w:p>
      <w:pPr>
        <w:ind w:left="1620" w:hanging="279"/>
        <w:spacing w:after="0"/>
        <w:tabs>
          <w:tab w:leader="none" w:pos="162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immediately after such transaction, no Default exists; and</w:t>
      </w:r>
    </w:p>
    <w:p>
      <w:pPr>
        <w:spacing w:after="0" w:line="117" w:lineRule="exact"/>
        <w:rPr>
          <w:rFonts w:ascii="Arial" w:cs="Arial" w:eastAsia="Arial" w:hAnsi="Arial"/>
          <w:sz w:val="18"/>
          <w:szCs w:val="18"/>
          <w:color w:val="auto"/>
        </w:rPr>
      </w:pPr>
    </w:p>
    <w:p>
      <w:pPr>
        <w:ind w:left="920" w:right="200" w:firstLine="421"/>
        <w:spacing w:after="0" w:line="277" w:lineRule="auto"/>
        <w:tabs>
          <w:tab w:leader="none" w:pos="1635"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such consolidation, amalgamation, merger or transfer and such supplemental indentures, if any, comply with this Indenture;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289" w:name="page290"/>
    <w:bookmarkEnd w:id="28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the transaction is made in compliance with Section 4.10 hereof.</w:t>
      </w:r>
    </w:p>
    <w:p>
      <w:pPr>
        <w:spacing w:after="0" w:line="117" w:lineRule="exact"/>
        <w:rPr>
          <w:sz w:val="20"/>
          <w:szCs w:val="20"/>
          <w:color w:val="auto"/>
        </w:rPr>
      </w:pPr>
    </w:p>
    <w:p>
      <w:pPr>
        <w:ind w:right="260" w:firstLine="921"/>
        <w:spacing w:after="0" w:line="293" w:lineRule="auto"/>
        <w:tabs>
          <w:tab w:leader="none" w:pos="1138" w:val="left"/>
        </w:tabs>
        <w:numPr>
          <w:ilvl w:val="0"/>
          <w:numId w:val="475"/>
        </w:numPr>
        <w:rPr>
          <w:rFonts w:ascii="Arial" w:cs="Arial" w:eastAsia="Arial" w:hAnsi="Arial"/>
          <w:sz w:val="16"/>
          <w:szCs w:val="16"/>
          <w:color w:val="auto"/>
        </w:rPr>
      </w:pPr>
      <w:r>
        <w:rPr>
          <w:rFonts w:ascii="Arial" w:cs="Arial" w:eastAsia="Arial" w:hAnsi="Arial"/>
          <w:sz w:val="16"/>
          <w:szCs w:val="16"/>
          <w:color w:val="auto"/>
        </w:rPr>
        <w:t>Subject to Section 10.06 hereof, the Successor Person will succeed to, and be substituted for, such Guarantor under this Indenture and such Guarantor’s Guarantee. Notwithstanding the foregoing, (x) any Guarantor (other than the Company, subject to Section 5.01(d) above) may merge or amalgamate into or transfer all or part of its properties and assets to the Company, the Issuer or any Guarantor and (y) any such Guarantor may merge or amalgamate with a Subsidiary of the Company solely for the purpose of reincorporating such Guarantor in another jurisdiction (regardless of clause (1) of paragraph (e) above) so long as the amount of Indebtedness of the Company and its Restricted Subsidiaries is not increased thereby and so long as the surviving entity (if not the Guarantor) assumes all of the Guarantor’s obligations under its Guarantee in connection with such reincorporation.</w:t>
      </w:r>
    </w:p>
    <w:p>
      <w:pPr>
        <w:spacing w:after="0" w:line="56" w:lineRule="exact"/>
        <w:rPr>
          <w:rFonts w:ascii="Arial" w:cs="Arial" w:eastAsia="Arial" w:hAnsi="Arial"/>
          <w:sz w:val="16"/>
          <w:szCs w:val="16"/>
          <w:color w:val="auto"/>
        </w:rPr>
      </w:pPr>
    </w:p>
    <w:p>
      <w:pPr>
        <w:ind w:right="420" w:firstLine="921"/>
        <w:spacing w:after="0" w:line="308" w:lineRule="auto"/>
        <w:tabs>
          <w:tab w:leader="none" w:pos="1168" w:val="left"/>
        </w:tabs>
        <w:numPr>
          <w:ilvl w:val="0"/>
          <w:numId w:val="475"/>
        </w:numPr>
        <w:rPr>
          <w:rFonts w:ascii="Arial" w:cs="Arial" w:eastAsia="Arial" w:hAnsi="Arial"/>
          <w:sz w:val="17"/>
          <w:szCs w:val="17"/>
          <w:color w:val="auto"/>
        </w:rPr>
      </w:pPr>
      <w:r>
        <w:rPr>
          <w:rFonts w:ascii="Arial" w:cs="Arial" w:eastAsia="Arial" w:hAnsi="Arial"/>
          <w:sz w:val="17"/>
          <w:szCs w:val="17"/>
          <w:color w:val="auto"/>
        </w:rPr>
        <w:t>The Company shall, directly or indirectly, at all times own 100% of the Equity Interests of the Issuer (other than Equity Interests held by employees of the Issuer or any Restricted Subsidiary as of the Issue Date and Equity Interests issued in exchange therefor).</w:t>
      </w:r>
    </w:p>
    <w:p>
      <w:pPr>
        <w:spacing w:after="0" w:line="147" w:lineRule="exact"/>
        <w:rPr>
          <w:sz w:val="20"/>
          <w:szCs w:val="20"/>
          <w:color w:val="auto"/>
        </w:rPr>
      </w:pPr>
    </w:p>
    <w:p>
      <w:pPr>
        <w:ind w:right="20" w:firstLine="913"/>
        <w:spacing w:after="0" w:line="310"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5"/>
          <w:szCs w:val="15"/>
          <w:u w:val="single" w:color="auto"/>
          <w:color w:val="auto"/>
        </w:rPr>
        <w:t>Successor Corporation Substituted</w:t>
      </w:r>
      <w:r>
        <w:rPr>
          <w:rFonts w:ascii="Arial" w:cs="Arial" w:eastAsia="Arial" w:hAnsi="Arial"/>
          <w:sz w:val="15"/>
          <w:szCs w:val="15"/>
          <w:color w:val="auto"/>
        </w:rPr>
        <w:t>. Upon any consolidation, amalgamation or merger, or any sale, assignment, transfer, lease, conveyance or other disposition of all or substantially all of the assets of the Issuer or a Guarantor in accordance with Section 5.01 hereof, the successor corporation formed by such consolidation or into or with which the Issuer or such Guarantor, as applicable, is merged, amalgamated or to which such sale, assignment, transfer, lease, conveyance or other disposition is made shall succeed to, and be substituted for (so that from and after the date of such consolidation, amalgamation, merger, sale, lease, conveyance or other disposition, the provisions of this Indenture referring to the Issuer or such Guarantor, as applicable, shall refer instead to the successor corporation and not to the Issuer or such Guarantor, as applicable), and may exercise every right and power of the Issuer or such Guarantor, as applicable, under this Indenture with the same effect as if such successor Person had been named as the Issuer or a Guarantor, as applicable, herein; provided that the predecessor Issuer shall not be relieved from the obligation to pay the principal of and interest on the Notes except in the case of a sale, assignment, transfer, conveyance or other disposition of all of the Issuer’s assets that meets the requirements of Section 5.01 hereof.</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DEFAULTS AND REMEDIES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1160" w:hanging="257"/>
        <w:spacing w:after="0"/>
        <w:tabs>
          <w:tab w:leader="none" w:pos="116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default in payment when due and payable, upon redemption, acceleration or otherwise, of principal of, or premium, if any, on the Notes;</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default for 30 days or more in the payment when due of interest on or with respect to the Notes;</w:t>
      </w:r>
    </w:p>
    <w:p>
      <w:pPr>
        <w:spacing w:after="0" w:line="117" w:lineRule="exact"/>
        <w:rPr>
          <w:rFonts w:ascii="Arial" w:cs="Arial" w:eastAsia="Arial" w:hAnsi="Arial"/>
          <w:sz w:val="18"/>
          <w:szCs w:val="18"/>
          <w:color w:val="auto"/>
        </w:rPr>
      </w:pPr>
    </w:p>
    <w:p>
      <w:pPr>
        <w:ind w:left="460" w:right="40" w:firstLine="443"/>
        <w:spacing w:after="0" w:line="264" w:lineRule="auto"/>
        <w:tabs>
          <w:tab w:leader="none" w:pos="1153" w:val="left"/>
        </w:tabs>
        <w:numPr>
          <w:ilvl w:val="0"/>
          <w:numId w:val="476"/>
        </w:numPr>
        <w:rPr>
          <w:rFonts w:ascii="Arial" w:cs="Arial" w:eastAsia="Arial" w:hAnsi="Arial"/>
          <w:sz w:val="18"/>
          <w:szCs w:val="18"/>
          <w:color w:val="auto"/>
        </w:rPr>
      </w:pPr>
      <w:r>
        <w:rPr>
          <w:rFonts w:ascii="Arial" w:cs="Arial" w:eastAsia="Arial" w:hAnsi="Arial"/>
          <w:sz w:val="18"/>
          <w:szCs w:val="18"/>
          <w:color w:val="auto"/>
        </w:rPr>
        <w:t>failure by the Company, the Issuer or any other Guarantor for 60 days after receipt of written notice given by the Trustee or the Holders of not less than 30% in principal amount of the Notes to comply with any of its obligations, covenants or agreements (other than a default referred to in clauses (1) and (2) above) contained in this Indenture or the Notes;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290" w:name="page291"/>
    <w:bookmarkEnd w:id="290"/>
    <w:p>
      <w:pPr>
        <w:ind w:firstLine="443"/>
        <w:spacing w:after="0" w:line="259" w:lineRule="auto"/>
        <w:tabs>
          <w:tab w:leader="none" w:pos="693" w:val="left"/>
        </w:tabs>
        <w:numPr>
          <w:ilvl w:val="0"/>
          <w:numId w:val="4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under any mortgage, indenture or instrument under which there is issued or by which there is secured or evidenced 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issuance of the Notes, if both:</w:t>
      </w:r>
    </w:p>
    <w:p>
      <w:pPr>
        <w:spacing w:after="0" w:line="78" w:lineRule="exact"/>
        <w:rPr>
          <w:rFonts w:ascii="Arial" w:cs="Arial" w:eastAsia="Arial" w:hAnsi="Arial"/>
          <w:sz w:val="18"/>
          <w:szCs w:val="18"/>
          <w:color w:val="auto"/>
        </w:rPr>
      </w:pPr>
    </w:p>
    <w:p>
      <w:pPr>
        <w:ind w:left="460" w:right="280" w:firstLine="421"/>
        <w:spacing w:after="0" w:line="312" w:lineRule="auto"/>
        <w:tabs>
          <w:tab w:leader="none" w:pos="1175" w:val="left"/>
        </w:tabs>
        <w:numPr>
          <w:ilvl w:val="1"/>
          <w:numId w:val="477"/>
        </w:numPr>
        <w:rPr>
          <w:rFonts w:ascii="Arial" w:cs="Arial" w:eastAsia="Arial" w:hAnsi="Arial"/>
          <w:sz w:val="16"/>
          <w:szCs w:val="16"/>
          <w:color w:val="auto"/>
        </w:rPr>
      </w:pPr>
      <w:r>
        <w:rPr>
          <w:rFonts w:ascii="Arial" w:cs="Arial" w:eastAsia="Arial" w:hAnsi="Arial"/>
          <w:sz w:val="16"/>
          <w:szCs w:val="16"/>
          <w:color w:val="auto"/>
        </w:rPr>
        <w:t>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maturity; and</w:t>
      </w:r>
    </w:p>
    <w:p>
      <w:pPr>
        <w:spacing w:after="0" w:line="38" w:lineRule="exact"/>
        <w:rPr>
          <w:rFonts w:ascii="Arial" w:cs="Arial" w:eastAsia="Arial" w:hAnsi="Arial"/>
          <w:sz w:val="16"/>
          <w:szCs w:val="16"/>
          <w:color w:val="auto"/>
        </w:rPr>
      </w:pPr>
    </w:p>
    <w:p>
      <w:pPr>
        <w:ind w:left="460" w:right="220" w:firstLine="421"/>
        <w:spacing w:after="0" w:line="264" w:lineRule="auto"/>
        <w:tabs>
          <w:tab w:leader="none" w:pos="1165" w:val="left"/>
        </w:tabs>
        <w:numPr>
          <w:ilvl w:val="1"/>
          <w:numId w:val="477"/>
        </w:numPr>
        <w:rPr>
          <w:rFonts w:ascii="Arial" w:cs="Arial" w:eastAsia="Arial" w:hAnsi="Arial"/>
          <w:sz w:val="18"/>
          <w:szCs w:val="18"/>
          <w:color w:val="auto"/>
        </w:rPr>
      </w:pPr>
      <w:r>
        <w:rPr>
          <w:rFonts w:ascii="Arial" w:cs="Arial" w:eastAsia="Arial" w:hAnsi="Arial"/>
          <w:sz w:val="18"/>
          <w:szCs w:val="18"/>
          <w:color w:val="auto"/>
        </w:rPr>
        <w:t>the principal amount of such Indebtedness, together with the principal amount of any other such Indebtedness in default for failure to pay principal at stated final maturity (after giving effect to any applicable grace periods), or the maturity of which has been so accelerated, aggregate $50.0 million or more at any one time outstanding;</w:t>
      </w:r>
    </w:p>
    <w:p>
      <w:pPr>
        <w:spacing w:after="0" w:line="73" w:lineRule="exact"/>
        <w:rPr>
          <w:rFonts w:ascii="Arial" w:cs="Arial" w:eastAsia="Arial" w:hAnsi="Arial"/>
          <w:sz w:val="18"/>
          <w:szCs w:val="18"/>
          <w:color w:val="auto"/>
        </w:rPr>
      </w:pPr>
    </w:p>
    <w:p>
      <w:pPr>
        <w:jc w:val="both"/>
        <w:ind w:right="60" w:firstLine="443"/>
        <w:spacing w:after="0" w:line="259" w:lineRule="auto"/>
        <w:tabs>
          <w:tab w:leader="none" w:pos="693" w:val="left"/>
        </w:tabs>
        <w:numPr>
          <w:ilvl w:val="0"/>
          <w:numId w:val="477"/>
        </w:numPr>
        <w:rPr>
          <w:rFonts w:ascii="Arial" w:cs="Arial" w:eastAsia="Arial" w:hAnsi="Arial"/>
          <w:sz w:val="18"/>
          <w:szCs w:val="18"/>
          <w:color w:val="auto"/>
        </w:rPr>
      </w:pPr>
      <w:r>
        <w:rPr>
          <w:rFonts w:ascii="Arial" w:cs="Arial" w:eastAsia="Arial" w:hAnsi="Arial"/>
          <w:sz w:val="18"/>
          <w:szCs w:val="18"/>
          <w:color w:val="auto"/>
        </w:rPr>
        <w:t>failure by the Company or any Significant Subsidiary (or any group of Subsidiaries that together would constitute a Significant Subsidiary) to pay final judgments aggregating in excess of $50.0 million,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w:t>
      </w:r>
    </w:p>
    <w:p>
      <w:pPr>
        <w:spacing w:after="0" w:line="78" w:lineRule="exact"/>
        <w:rPr>
          <w:rFonts w:ascii="Arial" w:cs="Arial" w:eastAsia="Arial" w:hAnsi="Arial"/>
          <w:sz w:val="18"/>
          <w:szCs w:val="18"/>
          <w:color w:val="auto"/>
        </w:rPr>
      </w:pPr>
    </w:p>
    <w:p>
      <w:pPr>
        <w:ind w:right="380" w:firstLine="443"/>
        <w:spacing w:after="0" w:line="308" w:lineRule="auto"/>
        <w:tabs>
          <w:tab w:leader="none" w:pos="693" w:val="left"/>
        </w:tabs>
        <w:numPr>
          <w:ilvl w:val="0"/>
          <w:numId w:val="477"/>
        </w:numPr>
        <w:rPr>
          <w:rFonts w:ascii="Arial" w:cs="Arial" w:eastAsia="Arial" w:hAnsi="Arial"/>
          <w:sz w:val="17"/>
          <w:szCs w:val="17"/>
          <w:color w:val="auto"/>
        </w:rPr>
      </w:pPr>
      <w:r>
        <w:rPr>
          <w:rFonts w:ascii="Arial" w:cs="Arial" w:eastAsia="Arial" w:hAnsi="Arial"/>
          <w:sz w:val="17"/>
          <w:szCs w:val="17"/>
          <w:color w:val="auto"/>
        </w:rPr>
        <w:t>the Company, the Issuer or any of its Restricted Subsidiaries that is a Significant Subsidiary (or any group of Restricted Subsidiaries that, taken together, would constitute a Significant Subsidiary), pursuant to or within the meaning of any Bankruptcy Law:</w:t>
      </w:r>
    </w:p>
    <w:p>
      <w:pPr>
        <w:spacing w:after="0" w:line="38" w:lineRule="exact"/>
        <w:rPr>
          <w:sz w:val="20"/>
          <w:szCs w:val="20"/>
          <w:color w:val="auto"/>
        </w:rPr>
      </w:pPr>
    </w:p>
    <w:p>
      <w:pPr>
        <w:ind w:left="1100" w:hanging="219"/>
        <w:spacing w:after="0"/>
        <w:tabs>
          <w:tab w:leader="none" w:pos="110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117" w:lineRule="exact"/>
        <w:rPr>
          <w:rFonts w:ascii="Arial" w:cs="Arial" w:eastAsia="Arial" w:hAnsi="Arial"/>
          <w:sz w:val="18"/>
          <w:szCs w:val="18"/>
          <w:color w:val="auto"/>
        </w:rPr>
      </w:pPr>
    </w:p>
    <w:p>
      <w:pPr>
        <w:ind w:left="460" w:right="520" w:firstLine="421"/>
        <w:spacing w:after="0" w:line="277" w:lineRule="auto"/>
        <w:tabs>
          <w:tab w:leader="none" w:pos="1145" w:val="left"/>
        </w:tabs>
        <w:numPr>
          <w:ilvl w:val="1"/>
          <w:numId w:val="478"/>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reorganization or relief under applicable Bankruptcy law;</w:t>
      </w:r>
    </w:p>
    <w:p>
      <w:pPr>
        <w:spacing w:after="0" w:line="62" w:lineRule="exact"/>
        <w:rPr>
          <w:rFonts w:ascii="Arial" w:cs="Arial" w:eastAsia="Arial" w:hAnsi="Arial"/>
          <w:sz w:val="18"/>
          <w:szCs w:val="18"/>
          <w:color w:val="auto"/>
        </w:rPr>
      </w:pPr>
    </w:p>
    <w:p>
      <w:pPr>
        <w:ind w:left="460" w:right="880" w:firstLine="421"/>
        <w:spacing w:after="0" w:line="277" w:lineRule="auto"/>
        <w:tabs>
          <w:tab w:leader="none" w:pos="1195" w:val="left"/>
        </w:tabs>
        <w:numPr>
          <w:ilvl w:val="1"/>
          <w:numId w:val="478"/>
        </w:numPr>
        <w:rPr>
          <w:rFonts w:ascii="Arial" w:cs="Arial" w:eastAsia="Arial" w:hAnsi="Arial"/>
          <w:sz w:val="18"/>
          <w:szCs w:val="18"/>
          <w:color w:val="auto"/>
        </w:rPr>
      </w:pPr>
      <w:r>
        <w:rPr>
          <w:rFonts w:ascii="Arial" w:cs="Arial" w:eastAsia="Arial" w:hAnsi="Arial"/>
          <w:sz w:val="18"/>
          <w:szCs w:val="18"/>
          <w:color w:val="auto"/>
        </w:rPr>
        <w:t>consents to the appointment of a receiver, liquidator, assignee, trustee, sequestrator or other similar official of it or for all or substantially all of its property;</w:t>
      </w:r>
    </w:p>
    <w:p>
      <w:pPr>
        <w:spacing w:after="0" w:line="62" w:lineRule="exact"/>
        <w:rPr>
          <w:rFonts w:ascii="Arial" w:cs="Arial" w:eastAsia="Arial" w:hAnsi="Arial"/>
          <w:sz w:val="18"/>
          <w:szCs w:val="18"/>
          <w:color w:val="auto"/>
        </w:rPr>
      </w:pPr>
    </w:p>
    <w:p>
      <w:pPr>
        <w:ind w:left="1180" w:hanging="299"/>
        <w:spacing w:after="0"/>
        <w:tabs>
          <w:tab w:leader="none" w:pos="118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460" w:right="160" w:firstLine="421"/>
        <w:spacing w:after="0" w:line="259" w:lineRule="auto"/>
        <w:tabs>
          <w:tab w:leader="none" w:pos="1095" w:val="left"/>
        </w:tabs>
        <w:numPr>
          <w:ilvl w:val="1"/>
          <w:numId w:val="479"/>
        </w:numPr>
        <w:rPr>
          <w:rFonts w:ascii="Arial" w:cs="Arial" w:eastAsia="Arial" w:hAnsi="Arial"/>
          <w:sz w:val="18"/>
          <w:szCs w:val="18"/>
          <w:color w:val="auto"/>
        </w:rPr>
      </w:pPr>
      <w:r>
        <w:rPr>
          <w:rFonts w:ascii="Arial" w:cs="Arial" w:eastAsia="Arial" w:hAnsi="Arial"/>
          <w:sz w:val="18"/>
          <w:szCs w:val="18"/>
          <w:color w:val="auto"/>
        </w:rPr>
        <w:t>is for relief against the Company, the Issuer or any of its Restricted Subsidiaries that is a Significant Subsidiary (or any group of Restricted Subsidiaries that, taken together, would constitute a Significant Subsidiary), in a proceeding in which the Company, the Issuer or any such Restricted Subsidiaries, that is a Significant Subsidiary (or any group of Restricted Subsidiaries that, taken together, would constitute a Significant Subsidiary), is to be adjudicated bankrupt or insolvent;</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700" w:top="274" w:right="239" w:bottom="1440" w:gutter="0" w:footer="0" w:header="0"/>
        </w:sectPr>
      </w:pPr>
    </w:p>
    <w:bookmarkStart w:id="291" w:name="page292"/>
    <w:bookmarkEnd w:id="291"/>
    <w:p>
      <w:pPr>
        <w:ind w:left="920" w:right="80" w:firstLine="421"/>
        <w:spacing w:after="0" w:line="279" w:lineRule="auto"/>
        <w:tabs>
          <w:tab w:leader="none" w:pos="1605" w:val="left"/>
        </w:tabs>
        <w:numPr>
          <w:ilvl w:val="0"/>
          <w:numId w:val="4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appoints a receiver, liquidator, assignee, trustee, sequestrator or other similar official of the Company, the Issuer or any of its Restricted Subsidiaries that is a Significant Subsidiary (or any group of Restricted Subsidiaries that, taken together, would constitute a Significant Subsidiary), or for all or substantially all of the property of the Company, the Issuer or any of its Restricted Subsidiaries that is a Significant Subsidiary (or any group of Restricted Subsidiaries that, taken together, would constitute a Significant Subsidiary); or</w:t>
      </w:r>
    </w:p>
    <w:p>
      <w:pPr>
        <w:spacing w:after="0" w:line="63" w:lineRule="exact"/>
        <w:rPr>
          <w:rFonts w:ascii="Arial" w:cs="Arial" w:eastAsia="Arial" w:hAnsi="Arial"/>
          <w:sz w:val="17"/>
          <w:szCs w:val="17"/>
          <w:color w:val="auto"/>
        </w:rPr>
      </w:pPr>
    </w:p>
    <w:p>
      <w:pPr>
        <w:ind w:left="920" w:right="160" w:firstLine="421"/>
        <w:spacing w:after="0" w:line="277" w:lineRule="auto"/>
        <w:tabs>
          <w:tab w:leader="none" w:pos="165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orders the liquidation of the Company, the Issuer or any of its Restricted Subsidiaries that is a Significant Subsidiary (or any group of Restricted Subsidiaries that, taken together, would constitute a Significant Subsidiary);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117" w:lineRule="exact"/>
        <w:rPr>
          <w:sz w:val="20"/>
          <w:szCs w:val="20"/>
          <w:color w:val="auto"/>
        </w:rPr>
      </w:pPr>
    </w:p>
    <w:p>
      <w:pPr>
        <w:ind w:left="460" w:right="120" w:firstLine="443"/>
        <w:spacing w:after="0" w:line="297" w:lineRule="auto"/>
        <w:tabs>
          <w:tab w:leader="none" w:pos="1153" w:val="left"/>
        </w:tabs>
        <w:numPr>
          <w:ilvl w:val="0"/>
          <w:numId w:val="481"/>
        </w:numPr>
        <w:rPr>
          <w:rFonts w:ascii="Arial" w:cs="Arial" w:eastAsia="Arial" w:hAnsi="Arial"/>
          <w:sz w:val="16"/>
          <w:szCs w:val="16"/>
          <w:color w:val="auto"/>
        </w:rPr>
      </w:pPr>
      <w:r>
        <w:rPr>
          <w:rFonts w:ascii="Arial" w:cs="Arial" w:eastAsia="Arial" w:hAnsi="Arial"/>
          <w:sz w:val="16"/>
          <w:szCs w:val="16"/>
          <w:color w:val="auto"/>
        </w:rPr>
        <w:t>the Guarantee of any Restricted Parent Guarantor or Significant Subsidiary (or any group of Subsidiaries that together would constitute a Significant Subsidiary) shall for any reason cease to be in full force and effect or be declared null and void or any responsible officer of any Restricted Parent Guarantor or any Guarantor that is a Significant Subsidiary (or the responsible officers of any group of Subsidiaries that together would constitute a Significant Subsidiary), as the case may be, denies that it has any further liability under its Guarantee or gives notice to such effect, other than by reason of the termination of this Indenture or the release of any such Guarantee in accordance with this Indenture; or</w:t>
      </w:r>
    </w:p>
    <w:p>
      <w:pPr>
        <w:spacing w:after="0" w:line="50" w:lineRule="exact"/>
        <w:rPr>
          <w:rFonts w:ascii="Arial" w:cs="Arial" w:eastAsia="Arial" w:hAnsi="Arial"/>
          <w:sz w:val="16"/>
          <w:szCs w:val="16"/>
          <w:color w:val="auto"/>
        </w:rPr>
      </w:pPr>
    </w:p>
    <w:p>
      <w:pPr>
        <w:ind w:left="460" w:firstLine="443"/>
        <w:spacing w:after="0" w:line="287" w:lineRule="auto"/>
        <w:tabs>
          <w:tab w:leader="none" w:pos="1153" w:val="left"/>
        </w:tabs>
        <w:numPr>
          <w:ilvl w:val="0"/>
          <w:numId w:val="481"/>
        </w:numPr>
        <w:rPr>
          <w:rFonts w:ascii="Arial" w:cs="Arial" w:eastAsia="Arial" w:hAnsi="Arial"/>
          <w:sz w:val="16"/>
          <w:szCs w:val="16"/>
          <w:color w:val="auto"/>
        </w:rPr>
      </w:pPr>
      <w:r>
        <w:rPr>
          <w:rFonts w:ascii="Arial" w:cs="Arial" w:eastAsia="Arial" w:hAnsi="Arial"/>
          <w:sz w:val="16"/>
          <w:szCs w:val="16"/>
          <w:color w:val="auto"/>
        </w:rPr>
        <w:t>the Liens created by the Collateral Documents relating to the Notes shall not constitute a valid and perfected Lien on any portion of the Collateral with a fair market value or book value equal to or more than $25.0 million intended to be covered thereby (to the extent perfection is required by the First Lien Debt Documents) except as otherwise permitted by the terms of this Indenture or the relevant First Lien Debt Documents and other than the satisfaction in full of all obligations of the Issuer and the Guarantors under this Indenture or the release or amendment of any such Lien in accordance with the terms of the First Lien Debt Documents, or, except for expiration in accordance with its terms or amendment, modification, waiver, termination or release in accordance with the terms of the First Lien Debt Documents, any of the Collateral Documents relating to the Notes shall for whatever reason be terminated or cease to be in full force and effect, if, in either case, such default continues for 60 days after notice, or the enforceability thereof shall be contested by the Issuer or any Guarantor, except to the extent that any such loss of perfection or priority results from the failure of the Collateral Agent to make filings, renewals and continuations (or other equivalent filings) or take other appropriate action or the failure of the Collateral Agent to maintain possession of certificates, instruments or other documents actually delivered to it representing securities pledged or other possessory collateral pledged under the applicable Collateral Documents relating to the Notes.</w:t>
      </w:r>
    </w:p>
    <w:p>
      <w:pPr>
        <w:spacing w:after="0" w:line="17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Acceleration</w:t>
      </w:r>
      <w:r>
        <w:rPr>
          <w:rFonts w:ascii="Arial" w:cs="Arial" w:eastAsia="Arial" w:hAnsi="Arial"/>
          <w:sz w:val="16"/>
          <w:szCs w:val="16"/>
          <w:color w:val="auto"/>
        </w:rPr>
        <w:t>. If any Event of Default (other than an Event of Default specified in clause (6) or (7) of Section 6.01 hereof) occurs and is continuing under this Indenture, the Trustee, upon receipt of actual written notice of a default, or the Holders of at least 30% in principal amount of the then total outstanding Notes may declare the principal, premium, if any, interest and any other monetary obligations on all the then outstanding Notes to be due and payable immediately. Upon the effectiveness of such declaration, such principal and interest shall be due and payable immediately. The Trustee shall have no obligation to accelerate the Notes if it believes in good faith that acceleration is not in the best interests of the Holders of the Notes.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292" w:name="page293"/>
    <w:bookmarkEnd w:id="292"/>
    <w:p>
      <w:pPr>
        <w:ind w:right="3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in the case of an Event of Default arising under clause (6) or (7) of Section 6.01 hereof, all outstanding Notes shall be due and payable immediately without further action or notice.</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Holders of a majority in aggregate principal amount of the then outstanding Notes by written notice to the Trustee may on behalf of all of the Holders of all of the Notes rescind any acceleration with respect to the Notes and its consequences if such rescission would not conflict with any judgment or decree of a court of competent jurisdiction and if all existing Events of Default (except nonpayment of principal, interest or premium that has become due solely because of the acceleration) have been cured or waived.</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In the event of any Event of Default specified in clause (4) of Section 6.01 hereof, such Event of Default and all consequences thereof (excluding any resulting payment default, other than as a result of acceleration of the Notes) shall be annulled, waived and rescinded, automatically and without any action by the Trustee or the Holders, if within 20 days after such Event of Default arose:</w:t>
      </w:r>
    </w:p>
    <w:p>
      <w:pPr>
        <w:spacing w:after="0" w:line="73" w:lineRule="exact"/>
        <w:rPr>
          <w:sz w:val="20"/>
          <w:szCs w:val="20"/>
          <w:color w:val="auto"/>
        </w:rPr>
      </w:pPr>
    </w:p>
    <w:p>
      <w:pPr>
        <w:ind w:left="1160" w:hanging="257"/>
        <w:spacing w:after="0"/>
        <w:tabs>
          <w:tab w:leader="none" w:pos="11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Indebtedness or guarantee that is the basis for such Event of Default has been discharged;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holders thereof have rescinded or waived the acceleration, notice or action (as the case may be) giving rise to such Event of Default; or</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default that is the basis for such Event of Default has been cured.</w:t>
      </w:r>
    </w:p>
    <w:p>
      <w:pPr>
        <w:spacing w:after="0" w:line="225"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Other Remedies</w:t>
      </w:r>
      <w:r>
        <w:rPr>
          <w:rFonts w:ascii="Arial" w:cs="Arial" w:eastAsia="Arial" w:hAnsi="Arial"/>
          <w:sz w:val="16"/>
          <w:szCs w:val="16"/>
          <w:color w:val="auto"/>
        </w:rPr>
        <w:t>. 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24" w:lineRule="exact"/>
        <w:rPr>
          <w:sz w:val="20"/>
          <w:szCs w:val="20"/>
          <w:color w:val="auto"/>
        </w:rPr>
      </w:pPr>
    </w:p>
    <w:p>
      <w:pPr>
        <w:jc w:val="both"/>
        <w:ind w:right="140" w:firstLine="913"/>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Subject to Section 6.02 hereof, Holders of not less than a majority in aggregate principal amount of the then outstanding Notes by notice to the Trustee may on behalf of the Holders of all of the Notes waive any existing Default and its consequences hereunder (except a continuing Default in the payment of the principal of, premium, if any, or interest on, any Note held by a non-consenting Holder) (including in connection with an Asset Sale Offer or a Change of Control Offer).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93"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Control by Majority</w:t>
      </w:r>
      <w:r>
        <w:rPr>
          <w:rFonts w:ascii="Arial" w:cs="Arial" w:eastAsia="Arial" w:hAnsi="Arial"/>
          <w:sz w:val="17"/>
          <w:szCs w:val="17"/>
          <w:color w:val="auto"/>
        </w:rPr>
        <w:t>. Holders of a majority in principal amount of the then total outstanding Notes may direct the time, method and place of conducting any proceeding for any remedy available to the Trustee or of exercising any trust or power conferred on the Trustee without any liability to the Trustee. The Trustee, however, may refuse to follow any direction that conflicts with law or this Indenture or that the Trustee determines is unduly prejudicial to the rights of any other Holder of a Note or that would involve the Trustee in personal liability.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293" w:name="page294"/>
    <w:bookmarkEnd w:id="293"/>
    <w:p>
      <w:pPr>
        <w:ind w:right="1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6.06.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Subject to Section 6.07 hereof, no Holder of a Note may pursue any remedy with respect to this Indenture or the Notes unless:</w:t>
      </w:r>
    </w:p>
    <w:p>
      <w:pPr>
        <w:spacing w:after="0" w:line="62" w:lineRule="exact"/>
        <w:rPr>
          <w:sz w:val="20"/>
          <w:szCs w:val="20"/>
          <w:color w:val="auto"/>
        </w:rPr>
      </w:pPr>
    </w:p>
    <w:p>
      <w:pPr>
        <w:ind w:left="1160" w:hanging="257"/>
        <w:spacing w:after="0"/>
        <w:tabs>
          <w:tab w:leader="none" w:pos="11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Holders of at least 30% in principal amount of the total outstanding Notes have requested the Trustee to pursue the remedy;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Holders of the Notes have offered the Trustee security or indemnity satisfactory to it against any loss, liability or expense;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483"/>
        </w:numPr>
        <w:rPr>
          <w:rFonts w:ascii="Arial" w:cs="Arial" w:eastAsia="Arial" w:hAnsi="Arial"/>
          <w:sz w:val="18"/>
          <w:szCs w:val="18"/>
          <w:color w:val="auto"/>
        </w:rPr>
      </w:pPr>
      <w:r>
        <w:rPr>
          <w:rFonts w:ascii="Arial" w:cs="Arial" w:eastAsia="Arial" w:hAnsi="Arial"/>
          <w:sz w:val="18"/>
          <w:szCs w:val="18"/>
          <w:color w:val="auto"/>
        </w:rPr>
        <w:t>Holders of a majority in principal amount of the total outstanding Notes have not given the Trustee a direction inconsistent with such request within such 60-day period.</w:t>
      </w:r>
    </w:p>
    <w:p>
      <w:pPr>
        <w:spacing w:after="0" w:line="17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Rights of Holders of Notes to Receive Payment</w:t>
      </w:r>
      <w:r>
        <w:rPr>
          <w:rFonts w:ascii="Arial" w:cs="Arial" w:eastAsia="Arial" w:hAnsi="Arial"/>
          <w:sz w:val="18"/>
          <w:szCs w:val="18"/>
          <w:color w:val="auto"/>
        </w:rPr>
        <w:t>. Notwithstanding any other provision of this Indenture, the right of any Holder of a Note to receive payment of principal of, premium, if any, and interest on the Note, on or after the respective due dates expressed in the Note (including in connection with an Asset Sale Offer or a Change of Control Offer), or to bring suit for the enforcement of any such payment on or after such respective dates, shall not be impaired or affected without the consent of such Holder.</w:t>
      </w:r>
    </w:p>
    <w:p>
      <w:pPr>
        <w:spacing w:after="0" w:line="18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Collection Suit by Trustee</w:t>
      </w:r>
      <w:r>
        <w:rPr>
          <w:rFonts w:ascii="Arial" w:cs="Arial" w:eastAsia="Arial" w:hAnsi="Arial"/>
          <w:sz w:val="18"/>
          <w:szCs w:val="18"/>
          <w:color w:val="auto"/>
        </w:rPr>
        <w:t>. If an Event of Default specified in Section 6.01(1) or (2) hereof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8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Rights and Remedies Cumulative</w:t>
      </w:r>
      <w:r>
        <w:rPr>
          <w:rFonts w:ascii="Arial" w:cs="Arial" w:eastAsia="Arial" w:hAnsi="Arial"/>
          <w:sz w:val="17"/>
          <w:szCs w:val="17"/>
          <w:color w:val="auto"/>
        </w:rPr>
        <w:t>. Except as otherwise provided with respect to the replacement or payment of mutilated, destroyed, lost or stolen Notes in Section 2.07 hereof,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74" w:right="259" w:bottom="1440" w:gutter="0" w:footer="0" w:header="0"/>
        </w:sectPr>
      </w:pPr>
    </w:p>
    <w:bookmarkStart w:id="294" w:name="page295"/>
    <w:bookmarkEnd w:id="294"/>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6.12. </w:t>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including the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 hereof. To the extent that the payment of any such compensation, expenses, disbursements and advances of the Trustee, its agents and counsel, and any other amounts due the Trustee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Priorities</w:t>
      </w:r>
      <w:r>
        <w:rPr>
          <w:rFonts w:ascii="Arial" w:cs="Arial" w:eastAsia="Arial" w:hAnsi="Arial"/>
          <w:sz w:val="16"/>
          <w:szCs w:val="16"/>
          <w:color w:val="auto"/>
        </w:rPr>
        <w:t>. If the Trustee or any Agent collects any money pursuant to this Article 6, it shall pay out the money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order:</w:t>
      </w:r>
    </w:p>
    <w:p>
      <w:pPr>
        <w:spacing w:after="0" w:line="103" w:lineRule="exact"/>
        <w:rPr>
          <w:sz w:val="20"/>
          <w:szCs w:val="20"/>
          <w:color w:val="auto"/>
        </w:rPr>
      </w:pPr>
    </w:p>
    <w:p>
      <w:pPr>
        <w:ind w:left="920" w:right="220" w:firstLine="421"/>
        <w:spacing w:after="0" w:line="342" w:lineRule="auto"/>
        <w:tabs>
          <w:tab w:leader="none" w:pos="1555" w:val="left"/>
        </w:tabs>
        <w:numPr>
          <w:ilvl w:val="0"/>
          <w:numId w:val="484"/>
        </w:numPr>
        <w:rPr>
          <w:rFonts w:ascii="Arial" w:cs="Arial" w:eastAsia="Arial" w:hAnsi="Arial"/>
          <w:sz w:val="16"/>
          <w:szCs w:val="16"/>
          <w:color w:val="auto"/>
        </w:rPr>
      </w:pPr>
      <w:r>
        <w:rPr>
          <w:rFonts w:ascii="Arial" w:cs="Arial" w:eastAsia="Arial" w:hAnsi="Arial"/>
          <w:sz w:val="16"/>
          <w:szCs w:val="16"/>
          <w:color w:val="auto"/>
        </w:rPr>
        <w:t>to the Trustee, such Agent, their agents and attorneys for amounts due under Section 7.06 hereof, including payment of all compensation, expenses and liabilities incurred, and all advances made, by the Trustee or such Agent and the costs and expenses of collection;</w:t>
      </w:r>
    </w:p>
    <w:p>
      <w:pPr>
        <w:spacing w:after="0" w:line="15" w:lineRule="exact"/>
        <w:rPr>
          <w:rFonts w:ascii="Arial" w:cs="Arial" w:eastAsia="Arial" w:hAnsi="Arial"/>
          <w:sz w:val="16"/>
          <w:szCs w:val="16"/>
          <w:color w:val="auto"/>
        </w:rPr>
      </w:pPr>
    </w:p>
    <w:p>
      <w:pPr>
        <w:ind w:left="920" w:right="60" w:firstLine="421"/>
        <w:spacing w:after="0" w:line="342" w:lineRule="auto"/>
        <w:tabs>
          <w:tab w:leader="none" w:pos="1605" w:val="left"/>
        </w:tabs>
        <w:numPr>
          <w:ilvl w:val="0"/>
          <w:numId w:val="484"/>
        </w:numPr>
        <w:rPr>
          <w:rFonts w:ascii="Arial" w:cs="Arial" w:eastAsia="Arial" w:hAnsi="Arial"/>
          <w:sz w:val="16"/>
          <w:szCs w:val="16"/>
          <w:color w:val="auto"/>
        </w:rPr>
      </w:pPr>
      <w:r>
        <w:rPr>
          <w:rFonts w:ascii="Arial" w:cs="Arial" w:eastAsia="Arial" w:hAnsi="Arial"/>
          <w:sz w:val="16"/>
          <w:szCs w:val="16"/>
          <w:color w:val="auto"/>
        </w:rPr>
        <w:t>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5" w:lineRule="exact"/>
        <w:rPr>
          <w:rFonts w:ascii="Arial" w:cs="Arial" w:eastAsia="Arial" w:hAnsi="Arial"/>
          <w:sz w:val="16"/>
          <w:szCs w:val="16"/>
          <w:color w:val="auto"/>
        </w:rPr>
      </w:pPr>
    </w:p>
    <w:p>
      <w:pPr>
        <w:ind w:left="1660" w:hanging="319"/>
        <w:spacing w:after="0"/>
        <w:tabs>
          <w:tab w:leader="none" w:pos="16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to the Issuer or to such party as a court of competent jurisdiction shall direct including a Guarantor,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6.13.</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6.14 does not apply to a suit by the Trustee, a suit by a Holder of a Note pursuant to Section 6.07 hereof, or a suit by Holders of more than 10% in principal amount of the then outstanding Notes.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4" w:right="259" w:bottom="1440" w:gutter="0" w:footer="0" w:header="0"/>
        </w:sectPr>
      </w:pPr>
    </w:p>
    <w:bookmarkStart w:id="295" w:name="page296"/>
    <w:bookmarkEnd w:id="29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TRUSTEE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jc w:val="both"/>
        <w:ind w:right="180" w:firstLine="921"/>
        <w:spacing w:after="0" w:line="264" w:lineRule="auto"/>
        <w:tabs>
          <w:tab w:leader="none" w:pos="1158"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920" w:right="100" w:firstLine="421"/>
        <w:spacing w:after="0" w:line="264" w:lineRule="auto"/>
        <w:tabs>
          <w:tab w:leader="none" w:pos="1555"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3" w:lineRule="exact"/>
        <w:rPr>
          <w:rFonts w:ascii="Arial" w:cs="Arial" w:eastAsia="Arial" w:hAnsi="Arial"/>
          <w:sz w:val="18"/>
          <w:szCs w:val="18"/>
          <w:color w:val="auto"/>
        </w:rPr>
      </w:pPr>
    </w:p>
    <w:p>
      <w:pPr>
        <w:ind w:left="920" w:firstLine="421"/>
        <w:spacing w:after="0" w:line="302" w:lineRule="auto"/>
        <w:tabs>
          <w:tab w:leader="none" w:pos="1605" w:val="left"/>
        </w:tabs>
        <w:numPr>
          <w:ilvl w:val="1"/>
          <w:numId w:val="485"/>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w:t>
      </w:r>
    </w:p>
    <w:p>
      <w:pPr>
        <w:spacing w:after="0" w:line="46" w:lineRule="exact"/>
        <w:rPr>
          <w:rFonts w:ascii="Arial" w:cs="Arial" w:eastAsia="Arial" w:hAnsi="Arial"/>
          <w:sz w:val="16"/>
          <w:szCs w:val="16"/>
          <w:color w:val="auto"/>
        </w:rPr>
      </w:pPr>
    </w:p>
    <w:p>
      <w:pPr>
        <w:ind w:left="1160" w:hanging="239"/>
        <w:spacing w:after="0"/>
        <w:tabs>
          <w:tab w:leader="none" w:pos="116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 misconduct,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 that:</w:t>
      </w:r>
    </w:p>
    <w:p>
      <w:pPr>
        <w:spacing w:after="0" w:line="102" w:lineRule="exact"/>
        <w:rPr>
          <w:rFonts w:ascii="Arial" w:cs="Arial" w:eastAsia="Arial" w:hAnsi="Arial"/>
          <w:sz w:val="17"/>
          <w:szCs w:val="17"/>
          <w:color w:val="auto"/>
        </w:rPr>
      </w:pPr>
    </w:p>
    <w:p>
      <w:pPr>
        <w:ind w:left="1560" w:hanging="219"/>
        <w:spacing w:after="0"/>
        <w:tabs>
          <w:tab w:leader="none" w:pos="156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117" w:lineRule="exact"/>
        <w:rPr>
          <w:rFonts w:ascii="Arial" w:cs="Arial" w:eastAsia="Arial" w:hAnsi="Arial"/>
          <w:sz w:val="18"/>
          <w:szCs w:val="18"/>
          <w:color w:val="auto"/>
        </w:rPr>
      </w:pPr>
    </w:p>
    <w:p>
      <w:pPr>
        <w:ind w:left="920" w:right="100" w:firstLine="421"/>
        <w:spacing w:after="0" w:line="277" w:lineRule="auto"/>
        <w:tabs>
          <w:tab w:leader="none" w:pos="1605"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unless it is proved in a court of competent jurisdiction that the Trustee was negligent in ascertaining the pertinent facts; and</w:t>
      </w:r>
    </w:p>
    <w:p>
      <w:pPr>
        <w:spacing w:after="0" w:line="62" w:lineRule="exact"/>
        <w:rPr>
          <w:rFonts w:ascii="Arial" w:cs="Arial" w:eastAsia="Arial" w:hAnsi="Arial"/>
          <w:sz w:val="18"/>
          <w:szCs w:val="18"/>
          <w:color w:val="auto"/>
        </w:rPr>
      </w:pPr>
    </w:p>
    <w:p>
      <w:pPr>
        <w:ind w:left="920" w:right="140" w:firstLine="421"/>
        <w:spacing w:after="0" w:line="277" w:lineRule="auto"/>
        <w:tabs>
          <w:tab w:leader="none" w:pos="1655"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6.02, 6.04 or 6.05 hereof.</w:t>
      </w:r>
    </w:p>
    <w:p>
      <w:pPr>
        <w:spacing w:after="0" w:line="62"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485"/>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62" w:lineRule="exact"/>
        <w:rPr>
          <w:rFonts w:ascii="Arial" w:cs="Arial" w:eastAsia="Arial" w:hAnsi="Arial"/>
          <w:sz w:val="18"/>
          <w:szCs w:val="18"/>
          <w:color w:val="auto"/>
        </w:rPr>
      </w:pPr>
    </w:p>
    <w:p>
      <w:pPr>
        <w:jc w:val="both"/>
        <w:ind w:right="220" w:firstLine="921"/>
        <w:spacing w:after="0" w:line="342" w:lineRule="auto"/>
        <w:tabs>
          <w:tab w:leader="none" w:pos="1158" w:val="left"/>
        </w:tabs>
        <w:numPr>
          <w:ilvl w:val="0"/>
          <w:numId w:val="485"/>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its rights or powers under this Indenture at the request or direction of any of the Holders of the Notes unless the Holders have offered to the Trustee indemnity or security reasonably satisfactory to it against any loss, liability or expense.</w:t>
      </w:r>
    </w:p>
    <w:p>
      <w:pPr>
        <w:spacing w:after="0" w:line="15" w:lineRule="exact"/>
        <w:rPr>
          <w:rFonts w:ascii="Arial" w:cs="Arial" w:eastAsia="Arial" w:hAnsi="Arial"/>
          <w:sz w:val="16"/>
          <w:szCs w:val="16"/>
          <w:color w:val="auto"/>
        </w:rPr>
      </w:pPr>
    </w:p>
    <w:p>
      <w:pPr>
        <w:ind w:firstLine="921"/>
        <w:spacing w:after="0" w:line="277" w:lineRule="auto"/>
        <w:tabs>
          <w:tab w:leader="none" w:pos="1138"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274" w:right="279" w:bottom="1440" w:gutter="0" w:footer="0" w:header="0"/>
        </w:sectPr>
      </w:pPr>
    </w:p>
    <w:bookmarkStart w:id="296" w:name="page297"/>
    <w:bookmarkEnd w:id="29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6" w:lineRule="auto"/>
        <w:tabs>
          <w:tab w:leader="none" w:pos="1158" w:val="left"/>
        </w:tabs>
        <w:numPr>
          <w:ilvl w:val="0"/>
          <w:numId w:val="486"/>
        </w:numPr>
        <w:rPr>
          <w:rFonts w:ascii="Arial" w:cs="Arial" w:eastAsia="Arial" w:hAnsi="Arial"/>
          <w:sz w:val="17"/>
          <w:szCs w:val="17"/>
          <w:color w:val="auto"/>
        </w:rPr>
      </w:pPr>
      <w:r>
        <w:rPr>
          <w:rFonts w:ascii="Arial" w:cs="Arial" w:eastAsia="Arial" w:hAnsi="Arial"/>
          <w:sz w:val="17"/>
          <w:szCs w:val="17"/>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and its Restricted Subsidiaries, personally or by agent or attorney at the sole cost of the Issuer and shall incur no liability or additional liability of any kind by reason of such inquiry or investigation.</w:t>
      </w:r>
    </w:p>
    <w:p>
      <w:pPr>
        <w:spacing w:after="0" w:line="64" w:lineRule="exact"/>
        <w:rPr>
          <w:rFonts w:ascii="Arial" w:cs="Arial" w:eastAsia="Arial" w:hAnsi="Arial"/>
          <w:sz w:val="17"/>
          <w:szCs w:val="17"/>
          <w:color w:val="auto"/>
        </w:rPr>
      </w:pPr>
    </w:p>
    <w:p>
      <w:pPr>
        <w:ind w:right="20" w:firstLine="921"/>
        <w:spacing w:after="0" w:line="302" w:lineRule="auto"/>
        <w:tabs>
          <w:tab w:leader="none" w:pos="1168" w:val="left"/>
        </w:tabs>
        <w:numPr>
          <w:ilvl w:val="0"/>
          <w:numId w:val="486"/>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of the Issuer or the Company or an Opinion of Counsel or both. The Trustee shall not be liable for any action it takes or omits to take in good faith in reliance on such Officer’s Certificate or Opinion of Counsel. The Trustee may consult with counsel of its selection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46" w:lineRule="exact"/>
        <w:rPr>
          <w:rFonts w:ascii="Arial" w:cs="Arial" w:eastAsia="Arial" w:hAnsi="Arial"/>
          <w:sz w:val="16"/>
          <w:szCs w:val="16"/>
          <w:color w:val="auto"/>
        </w:rPr>
      </w:pPr>
    </w:p>
    <w:p>
      <w:pPr>
        <w:ind w:right="140" w:firstLine="921"/>
        <w:spacing w:after="0" w:line="277" w:lineRule="auto"/>
        <w:tabs>
          <w:tab w:leader="none" w:pos="1158"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or attorney appointed with due care.</w:t>
      </w:r>
    </w:p>
    <w:p>
      <w:pPr>
        <w:spacing w:after="0" w:line="62" w:lineRule="exact"/>
        <w:rPr>
          <w:rFonts w:ascii="Arial" w:cs="Arial" w:eastAsia="Arial" w:hAnsi="Arial"/>
          <w:sz w:val="18"/>
          <w:szCs w:val="18"/>
          <w:color w:val="auto"/>
        </w:rPr>
      </w:pPr>
    </w:p>
    <w:p>
      <w:pPr>
        <w:ind w:right="340" w:firstLine="921"/>
        <w:spacing w:after="0" w:line="277" w:lineRule="auto"/>
        <w:tabs>
          <w:tab w:leader="none" w:pos="1168"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62" w:lineRule="exact"/>
        <w:rPr>
          <w:rFonts w:ascii="Arial" w:cs="Arial" w:eastAsia="Arial" w:hAnsi="Arial"/>
          <w:sz w:val="18"/>
          <w:szCs w:val="18"/>
          <w:color w:val="auto"/>
        </w:rPr>
      </w:pPr>
    </w:p>
    <w:p>
      <w:pPr>
        <w:ind w:right="40" w:firstLine="921"/>
        <w:spacing w:after="0" w:line="277" w:lineRule="auto"/>
        <w:tabs>
          <w:tab w:leader="none" w:pos="1158" w:val="left"/>
        </w:tabs>
        <w:numPr>
          <w:ilvl w:val="0"/>
          <w:numId w:val="486"/>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Issuer shall be sufficient if signed by an Officer of the Issuer.</w:t>
      </w:r>
    </w:p>
    <w:p>
      <w:pPr>
        <w:spacing w:after="0" w:line="62" w:lineRule="exact"/>
        <w:rPr>
          <w:rFonts w:ascii="Arial" w:cs="Arial" w:eastAsia="Arial" w:hAnsi="Arial"/>
          <w:sz w:val="18"/>
          <w:szCs w:val="18"/>
          <w:color w:val="auto"/>
        </w:rPr>
      </w:pPr>
    </w:p>
    <w:p>
      <w:pPr>
        <w:ind w:right="100" w:firstLine="921"/>
        <w:spacing w:after="0" w:line="264" w:lineRule="auto"/>
        <w:tabs>
          <w:tab w:leader="none" w:pos="1138" w:val="left"/>
        </w:tabs>
        <w:numPr>
          <w:ilvl w:val="0"/>
          <w:numId w:val="486"/>
        </w:numPr>
        <w:rPr>
          <w:rFonts w:ascii="Arial" w:cs="Arial" w:eastAsia="Arial" w:hAnsi="Arial"/>
          <w:sz w:val="18"/>
          <w:szCs w:val="18"/>
          <w:color w:val="auto"/>
        </w:rPr>
      </w:pPr>
      <w:r>
        <w:rPr>
          <w:rFonts w:ascii="Arial" w:cs="Arial" w:eastAsia="Arial" w:hAnsi="Arial"/>
          <w:sz w:val="18"/>
          <w:szCs w:val="18"/>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73" w:lineRule="exact"/>
        <w:rPr>
          <w:rFonts w:ascii="Arial" w:cs="Arial" w:eastAsia="Arial" w:hAnsi="Arial"/>
          <w:sz w:val="18"/>
          <w:szCs w:val="18"/>
          <w:color w:val="auto"/>
        </w:rPr>
      </w:pPr>
    </w:p>
    <w:p>
      <w:pPr>
        <w:ind w:right="120" w:firstLine="921"/>
        <w:spacing w:after="0" w:line="264" w:lineRule="auto"/>
        <w:tabs>
          <w:tab w:leader="none" w:pos="1168"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written notice of any event which is in fact such a Default is received by a Responsible Officer of the Trustee at the Corporate Trust Office of the Trustee, and such notice references the Notes and this Indenture.</w:t>
      </w:r>
    </w:p>
    <w:p>
      <w:pPr>
        <w:spacing w:after="0" w:line="73" w:lineRule="exact"/>
        <w:rPr>
          <w:rFonts w:ascii="Arial" w:cs="Arial" w:eastAsia="Arial" w:hAnsi="Arial"/>
          <w:sz w:val="18"/>
          <w:szCs w:val="18"/>
          <w:color w:val="auto"/>
        </w:rPr>
      </w:pPr>
    </w:p>
    <w:p>
      <w:pPr>
        <w:ind w:right="280" w:firstLine="921"/>
        <w:spacing w:after="0" w:line="264" w:lineRule="auto"/>
        <w:tabs>
          <w:tab w:leader="none" w:pos="1168"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punitive,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73" w:lineRule="exact"/>
        <w:rPr>
          <w:rFonts w:ascii="Arial" w:cs="Arial" w:eastAsia="Arial" w:hAnsi="Arial"/>
          <w:sz w:val="18"/>
          <w:szCs w:val="18"/>
          <w:color w:val="auto"/>
        </w:rPr>
      </w:pPr>
    </w:p>
    <w:p>
      <w:pPr>
        <w:ind w:right="60" w:firstLine="921"/>
        <w:spacing w:after="0" w:line="264" w:lineRule="auto"/>
        <w:tabs>
          <w:tab w:leader="none" w:pos="1128"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Individual Rights of Trustee</w:t>
      </w:r>
      <w:r>
        <w:rPr>
          <w:rFonts w:ascii="Arial" w:cs="Arial" w:eastAsia="Arial" w:hAnsi="Arial"/>
          <w:sz w:val="17"/>
          <w:szCs w:val="17"/>
          <w:color w:val="auto"/>
        </w:rPr>
        <w:t>. 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 7.09 hereof.</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274" w:right="319" w:bottom="1440" w:gutter="0" w:footer="0" w:header="0"/>
        </w:sectPr>
      </w:pPr>
    </w:p>
    <w:bookmarkStart w:id="297" w:name="page298"/>
    <w:bookmarkEnd w:id="297"/>
    <w:p>
      <w:pPr>
        <w:ind w:right="6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7.04. </w:t>
      </w:r>
      <w:r>
        <w:rPr>
          <w:rFonts w:ascii="Arial" w:cs="Arial" w:eastAsia="Arial" w:hAnsi="Arial"/>
          <w:sz w:val="17"/>
          <w:szCs w:val="17"/>
          <w:u w:val="single" w:color="auto"/>
          <w:color w:val="auto"/>
        </w:rPr>
        <w:t>Trustee’s Disclaimer</w:t>
      </w:r>
      <w:r>
        <w:rPr>
          <w:rFonts w:ascii="Arial" w:cs="Arial" w:eastAsia="Arial" w:hAnsi="Arial"/>
          <w:sz w:val="17"/>
          <w:szCs w:val="17"/>
          <w:color w:val="auto"/>
        </w:rPr>
        <w:t>. 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7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Trustee shall not be responsible or liable for noncompliance by the Issuer or the Depositary. The Trustee also shall not be responsible or liable for any failure of the Issuer or any other party to comply with any securities laws, including, without limitation, the Securities Act, that may be caused by or result from the failure of the Issuer to comply with the requirements of the Indenture or the failure of the Depositary to comply with any request related to this Indenture.</w:t>
      </w:r>
    </w:p>
    <w:p>
      <w:pPr>
        <w:spacing w:after="0" w:line="18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Trustee shall not have any obligation or duty to monitor, determine or inquire as to compliance with any restrictions on transfer imposed under this Indenture or under applicable law with respect to any transfer of any interest in any Note (including any transfers between or among the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Notice of Defaults</w:t>
      </w:r>
      <w:r>
        <w:rPr>
          <w:rFonts w:ascii="Arial" w:cs="Arial" w:eastAsia="Arial" w:hAnsi="Arial"/>
          <w:sz w:val="18"/>
          <w:szCs w:val="18"/>
          <w:color w:val="auto"/>
        </w:rPr>
        <w:t>. If a Default occurs and is continuing and if it is known to the Trustee, the Trustee shall send to Holders of Notes a notice of the Default within 90 days after it occurs. Except in the case of a Default relating to the payment of principal, premium, if any, or interest on any Note, the Trustee may withhold from the Holders notice of any continuing Default if and so long as a committee of its Responsible Officers in good faith determines that withholding the notice is in the interests of the Holders of the Notes.</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 The Issuer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Issuer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8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Issuer and the Guarantors, jointly and severally, shall indemnify the Trustee and its officers, directors, employees, agents and any predecessor trustee and its officers, directors, employees and agents for, and hold the Trustee harmless against, any and all loss, damage, claims, liability or expense (including attorneys’ fees) incurred by it in connection with the acceptance or administration of this trust and the performance of its duties hereunder (including the costs and expenses of enforcing this Indenture against the Issuer or any of the Guarantors (including this Section 7.06) or defending itself against any claim whether asserted by any Holder, the Issuer or any Guarantor, or liability in connective with the acceptance, exercise or performance of any of its powers or duties hereunder). The Trustee shall notify the Issuer promptly of any claim for which it may seek indemnity. Failure by the Trustee to so notify the Issuer shall not relieve the Issuer of its obligations hereunder. The Issuer shall defend the claim and the Trustee may have separate counsel and the Issuer shall pay the fees and expenses of such counsel. The Issuer need not reimburse any expense or indemnify against any loss, liability or expense incurred by the Trustee through the Trustee’s own willful misconduct, negligence or bad faith.</w:t>
      </w:r>
    </w:p>
    <w:p>
      <w:pPr>
        <w:spacing w:after="0" w:line="182"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obligations of the Issuer under this Section 7.06 shall survive the satisfaction and discharge of this Indenture or the earlier resignation or removal of the Trustee.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274" w:right="279" w:bottom="1440" w:gutter="0" w:footer="0" w:header="0"/>
        </w:sectPr>
      </w:pPr>
    </w:p>
    <w:bookmarkStart w:id="298" w:name="page299"/>
    <w:bookmarkEnd w:id="298"/>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contrary in Section 4.12 hereof, to secure the payment obligations of the Issuer and the Guarantors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6.01(6) or (7) hereof occurs, the expenses and the compensation for the services (including the fees and expenses of its agents and counsel) are intended to constitute expenses of administration under any Bankruptcy Law.</w:t>
      </w:r>
    </w:p>
    <w:p>
      <w:pPr>
        <w:spacing w:after="0" w:line="181"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Replacement of Trustee</w:t>
      </w:r>
      <w:r>
        <w:rPr>
          <w:rFonts w:ascii="Arial" w:cs="Arial" w:eastAsia="Arial" w:hAnsi="Arial"/>
          <w:sz w:val="17"/>
          <w:szCs w:val="17"/>
          <w:color w:val="auto"/>
        </w:rPr>
        <w:t>. A resignation or removal of the Trustee and appointment of a successor Trustee shall become effective only upon the successor Trustee’s acceptance of appointment as provided in this Section 7.07. The Trustee may resign in writing at any time and be discharged from the trust hereby created by so notifying the Issuer. The Holders of a majority in principal amount of the then outstanding Notes may remove the Trustee by so notifying the Trustee and the Issuer in writing. The Issuer may remove the Trustee if:</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the Trustee is adjudged a bankrupt or an insolvent or an order for relief is entered with respect to the Trustee under any Bankruptcy</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Law;</w:t>
      </w:r>
    </w:p>
    <w:p>
      <w:pPr>
        <w:spacing w:after="0" w:line="103" w:lineRule="exact"/>
        <w:rPr>
          <w:sz w:val="20"/>
          <w:szCs w:val="20"/>
          <w:color w:val="auto"/>
        </w:rPr>
      </w:pPr>
    </w:p>
    <w:p>
      <w:pPr>
        <w:ind w:left="1620" w:hanging="279"/>
        <w:spacing w:after="0"/>
        <w:tabs>
          <w:tab w:leader="none" w:pos="162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620" w:hanging="279"/>
        <w:spacing w:after="0"/>
        <w:tabs>
          <w:tab w:leader="none" w:pos="162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8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If a successor Trustee does not take office within 60 days after the retiring Trustee resigns or is removed, the retiring Trustee (at the Issuer’s expense), the Issuer or the Holders of at least 10% in principal amount of the then outstanding Notes may petition any court of competent jurisdiction for the appointment of a successor Trustee.</w:t>
      </w:r>
    </w:p>
    <w:p>
      <w:pPr>
        <w:spacing w:after="0" w:line="181"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If the Trustee, after written request by any Holder who has been a Holder for at least six months, fails to comply with Section 7.09 hereof, such Holder may petition any court of competent jurisdiction for the removal of the Trustee and the appointment of a successor Trustee.</w:t>
      </w:r>
    </w:p>
    <w:p>
      <w:pPr>
        <w:spacing w:after="0" w:line="14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all sums owing to the Trustee hereunder have been paid and subject to the Lien provided for in Section 7.06 hereof. Notwithstanding replacement of the Trustee pursuant to this Section 7.07, the Issuer’s obligations under Section 7.06 hereof shall continue for the benefit of the retiring Trustee.</w:t>
      </w:r>
    </w:p>
    <w:p>
      <w:pPr>
        <w:spacing w:after="0" w:line="193"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Successor Trustee by Merger, etc</w:t>
      </w:r>
      <w:r>
        <w:rPr>
          <w:rFonts w:ascii="Arial" w:cs="Arial" w:eastAsia="Arial" w:hAnsi="Arial"/>
          <w:sz w:val="17"/>
          <w:szCs w:val="17"/>
          <w:color w:val="auto"/>
        </w:rPr>
        <w:t>. If the Trustee consolidates, merges or converts into, or transfers all or substantially all of its corporate trust business to, another corporation, the successor corporation without any further act shall be the successor Trustee.</w:t>
      </w:r>
    </w:p>
    <w:p>
      <w:pPr>
        <w:spacing w:after="0" w:line="14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 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together with its parent, a combined capital and surplus of at least $50,000,000 as set forth in its most recent published annual report of condition.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299" w:name="page300"/>
    <w:bookmarkEnd w:id="299"/>
    <w:p>
      <w:pPr>
        <w:ind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7.10. </w:t>
      </w:r>
      <w:r>
        <w:rPr>
          <w:rFonts w:ascii="Arial" w:cs="Arial" w:eastAsia="Arial" w:hAnsi="Arial"/>
          <w:sz w:val="17"/>
          <w:szCs w:val="17"/>
          <w:u w:val="single" w:color="auto"/>
          <w:color w:val="auto"/>
        </w:rPr>
        <w:t>Incumbency Certificate; Specimen Signatures</w:t>
      </w:r>
      <w:r>
        <w:rPr>
          <w:rFonts w:ascii="Arial" w:cs="Arial" w:eastAsia="Arial" w:hAnsi="Arial"/>
          <w:sz w:val="17"/>
          <w:szCs w:val="17"/>
          <w:color w:val="auto"/>
        </w:rPr>
        <w:t>. The Issuer shall furnish, within five (5) Business Days following the Issue Date, to the Trustee, and from time to time thereafter may furnish, an Officer’s Certificate identifying and certifying the incumbency and specimen signatures of the Authorized Persons of the Issuer. Until the Trustee receives a subsequent Officer’s Certificate, the Trustee shall be entitled to conclusively rely on the last such Officer’s Certificate delivered to it for purposes of determining the Authorized Persons of the Issuer.</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LEGAL DEFEASANCE AND COVENANT DEFEASANCE</w:t>
      </w:r>
    </w:p>
    <w:p>
      <w:pPr>
        <w:spacing w:after="0" w:line="225"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Option to Effect Legal Defeasance or Covenant Defeasance</w:t>
      </w:r>
      <w:r>
        <w:rPr>
          <w:rFonts w:ascii="Arial" w:cs="Arial" w:eastAsia="Arial" w:hAnsi="Arial"/>
          <w:sz w:val="17"/>
          <w:szCs w:val="17"/>
          <w:color w:val="auto"/>
        </w:rPr>
        <w:t>. The Issuer may, at its option and at any time, elect to have either Section 8.02 or 8.03 hereof applied to all outstanding Notes upon compliance with the conditions set forth below in this Article 8.</w:t>
      </w:r>
    </w:p>
    <w:p>
      <w:pPr>
        <w:spacing w:after="0" w:line="147"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Legal Defeasance and Discharge</w:t>
      </w:r>
      <w:r>
        <w:rPr>
          <w:rFonts w:ascii="Arial" w:cs="Arial" w:eastAsia="Arial" w:hAnsi="Arial"/>
          <w:sz w:val="17"/>
          <w:szCs w:val="17"/>
          <w:color w:val="auto"/>
        </w:rPr>
        <w:t>. Upon the Issuer’s exercise under Section 8.01 hereof of the option applicable to this Section 8.02, the Issuer and the Guarantors shall, subject to the satisfaction of the conditions set forth in Section 8.04 hereof, be deemed to have been discharged from their obligations with respect to all outstanding Notes and Guarantees on the date the conditions set forth below are satisfied (“Legal Defeasance”). For this purpose, Legal Defeasance means that the Issuer shall be deemed to have paid and discharged the entire Indebtedness represented by the outstanding Notes, which shall thereafter be deemed to be “outstanding” only for the purposes of Section 8.05 hereof and the other Sections of this Indenture referred to in (a) and (b) below, and to have satisfied all its other obligations under such Notes and this Indenture including that of the Guarantors (and the Trustee, on demand of and at the expense of the Issuer, shall execute proper instruments acknowledging the same), except for the following provisions which shall survive until otherwise terminated or discharged hereunder:</w:t>
      </w:r>
    </w:p>
    <w:p>
      <w:pPr>
        <w:spacing w:after="0" w:line="71" w:lineRule="exact"/>
        <w:rPr>
          <w:sz w:val="20"/>
          <w:szCs w:val="20"/>
          <w:color w:val="auto"/>
        </w:rPr>
      </w:pPr>
    </w:p>
    <w:p>
      <w:pPr>
        <w:ind w:left="920" w:right="120" w:firstLine="421"/>
        <w:spacing w:after="0" w:line="277" w:lineRule="auto"/>
        <w:tabs>
          <w:tab w:leader="none" w:pos="1635"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rights of Holders of Notes to receive payments in respect of the principal of, premium, if any, and interest on the Notes when such payments are due solely out of the trust created pursuant to this Indenture referred to in Section 8.04 hereof;</w:t>
      </w:r>
    </w:p>
    <w:p>
      <w:pPr>
        <w:spacing w:after="0" w:line="62" w:lineRule="exact"/>
        <w:rPr>
          <w:rFonts w:ascii="Arial" w:cs="Arial" w:eastAsia="Arial" w:hAnsi="Arial"/>
          <w:sz w:val="18"/>
          <w:szCs w:val="18"/>
          <w:color w:val="auto"/>
        </w:rPr>
      </w:pPr>
    </w:p>
    <w:p>
      <w:pPr>
        <w:ind w:left="920" w:right="20" w:firstLine="421"/>
        <w:spacing w:after="0" w:line="308" w:lineRule="auto"/>
        <w:tabs>
          <w:tab w:leader="none" w:pos="1625" w:val="left"/>
        </w:tabs>
        <w:numPr>
          <w:ilvl w:val="0"/>
          <w:numId w:val="488"/>
        </w:numPr>
        <w:rPr>
          <w:rFonts w:ascii="Arial" w:cs="Arial" w:eastAsia="Arial" w:hAnsi="Arial"/>
          <w:sz w:val="17"/>
          <w:szCs w:val="17"/>
          <w:color w:val="auto"/>
        </w:rPr>
      </w:pPr>
      <w:r>
        <w:rPr>
          <w:rFonts w:ascii="Arial" w:cs="Arial" w:eastAsia="Arial" w:hAnsi="Arial"/>
          <w:sz w:val="17"/>
          <w:szCs w:val="17"/>
          <w:color w:val="auto"/>
        </w:rPr>
        <w:t>the Issuer’s obligations with respect to Notes concerning issuing temporary Notes, registration of such Notes, mutilated, destroyed, lost or stolen Notes and the maintenance of an office or agency for payment and money for security payments held in trust;</w:t>
      </w:r>
    </w:p>
    <w:p>
      <w:pPr>
        <w:spacing w:after="0" w:line="38" w:lineRule="exact"/>
        <w:rPr>
          <w:rFonts w:ascii="Arial" w:cs="Arial" w:eastAsia="Arial" w:hAnsi="Arial"/>
          <w:sz w:val="17"/>
          <w:szCs w:val="17"/>
          <w:color w:val="auto"/>
        </w:rPr>
      </w:pPr>
    </w:p>
    <w:p>
      <w:pPr>
        <w:ind w:left="1620" w:hanging="279"/>
        <w:spacing w:after="0"/>
        <w:tabs>
          <w:tab w:leader="none" w:pos="162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this Section 8.02.</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Subject to compliance with this Article 8, the Issuer may exercise its option under this Section 8.02 notwithstanding the prior exercise of its option under Section 8.03 hereof.</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the Issuer exercises its legal defeasance option, the First Liens, as they pertain to the Notes and the Guarantees, will be released and each Guarantor will be released from all its obligations under its Guarantee of the Notes.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274" w:right="279" w:bottom="1440" w:gutter="0" w:footer="0" w:header="0"/>
        </w:sectPr>
      </w:pPr>
    </w:p>
    <w:bookmarkStart w:id="300" w:name="page301"/>
    <w:bookmarkEnd w:id="300"/>
    <w:p>
      <w:pPr>
        <w:ind w:right="10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Issuer’s exercise under Section 8.01 hereof of the option applicable to this Section 8.03, the Issuer and the Guarantors shall, subject to the satisfaction of the conditions set forth in Section 8.04 hereof, be released from their obligations under the covenants contained in Sections 4.03, 4.04, 4.05, 4.07, 4.08, 4.09, 4.10, 4.11, 4.12, 4.13, 4.14 and 4.15 hereof and clauses (4) and (5) of Section 5.01(a), clause (4) of Section 5.01(c), Sections 5.01(e) and 5.01(f) hereof with respect to the outstanding Notes on and after the date the conditions set forth in Section 8.04 hereof are satisfied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hereof, subject to the satisfaction of the conditions set forth in Section 8.04 hereof, Sections 6.01(3) (solely with respect to the covenants that are released upon a Covenant Defeasance), 6.01(4), 6.01(5), 6.01(6) (solely with respect to the Company and its Restricted Subsidiaries other than the Issuer), 6.01(7) (solely with respect to the Company and its Restricted Subsidiaries other than the Issuer) and 6.01(8) hereof shall not constitute Events of Default.</w:t>
      </w:r>
    </w:p>
    <w:p>
      <w:pPr>
        <w:spacing w:after="0" w:line="16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If the Issuer exercises its covenant defeasance option, the First Liens, as they pertain to the Notes and the Guarantees, will be released and each Guarantor will be released from all its obligations under its Guarantee of the Notes.</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 The following shall be the conditions to the application of either Section 8.02 or 8.03 hereof to the outstanding Notes: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order to exercise either Legal Defeasance or Covenant Defeasance with respect to the Notes:</w:t>
      </w:r>
    </w:p>
    <w:p>
      <w:pPr>
        <w:spacing w:after="0" w:line="117" w:lineRule="exact"/>
        <w:rPr>
          <w:sz w:val="20"/>
          <w:szCs w:val="20"/>
          <w:color w:val="auto"/>
        </w:rPr>
      </w:pPr>
    </w:p>
    <w:p>
      <w:pPr>
        <w:ind w:left="460" w:firstLine="443"/>
        <w:spacing w:after="0" w:line="257" w:lineRule="auto"/>
        <w:tabs>
          <w:tab w:leader="none" w:pos="1153"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in trust, for the benefit of the Holders of the Notes, cash in U.S. dollars, U.S. dollar-denominated Government Securities, or a combination thereof, in such amounts as will be sufficient, in the opinion of a nationally recognized firm of independent public accountants, to pay the principal of, premium, if any, and interest due on the Notes on the stated maturity date or on the Redemption Date, as the case may be, of such principal, premium, if any, or interest on such Notes and the Issuer must specify whether such Notes are being defeased to maturity or to a particular Redemption Date.</w:t>
      </w:r>
    </w:p>
    <w:p>
      <w:pPr>
        <w:spacing w:after="0" w:line="80" w:lineRule="exact"/>
        <w:rPr>
          <w:rFonts w:ascii="Arial" w:cs="Arial" w:eastAsia="Arial" w:hAnsi="Arial"/>
          <w:sz w:val="18"/>
          <w:szCs w:val="18"/>
          <w:color w:val="auto"/>
        </w:rPr>
      </w:pPr>
    </w:p>
    <w:p>
      <w:pPr>
        <w:ind w:left="460" w:right="320" w:firstLine="443"/>
        <w:spacing w:after="0" w:line="277" w:lineRule="auto"/>
        <w:tabs>
          <w:tab w:leader="none" w:pos="1153" w:val="left"/>
        </w:tabs>
        <w:numPr>
          <w:ilvl w:val="0"/>
          <w:numId w:val="489"/>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reasonably acceptable to the Trustee confirming that, subject to customary assumptions and exclusions,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United States Internal Revenue Service a ruling, or</w:t>
      </w:r>
    </w:p>
    <w:p>
      <w:pPr>
        <w:spacing w:after="0" w:line="117" w:lineRule="exact"/>
        <w:rPr>
          <w:rFonts w:ascii="Arial" w:cs="Arial" w:eastAsia="Arial" w:hAnsi="Arial"/>
          <w:sz w:val="18"/>
          <w:szCs w:val="18"/>
          <w:color w:val="auto"/>
        </w:rPr>
      </w:pPr>
    </w:p>
    <w:p>
      <w:pPr>
        <w:ind w:left="1620" w:hanging="279"/>
        <w:spacing w:after="0"/>
        <w:tabs>
          <w:tab w:leader="none" w:pos="162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since the issuance of the Notes, there has been a change in the applicable U.S. federal income tax law,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4" w:right="259" w:bottom="1440" w:gutter="0" w:footer="0" w:header="0"/>
        </w:sectPr>
      </w:pPr>
    </w:p>
    <w:bookmarkStart w:id="301" w:name="page302"/>
    <w:bookmarkEnd w:id="30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either case to the effect that, and based thereon such Opinion of Counsel shall confirm that, subject to customary assumptions and exclusions, the Holders of the Notes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460" w:right="60" w:firstLine="443"/>
        <w:spacing w:after="0" w:line="279" w:lineRule="auto"/>
        <w:tabs>
          <w:tab w:leader="none" w:pos="1153" w:val="left"/>
        </w:tabs>
        <w:numPr>
          <w:ilvl w:val="0"/>
          <w:numId w:val="490"/>
        </w:numPr>
        <w:rPr>
          <w:rFonts w:ascii="Arial" w:cs="Arial" w:eastAsia="Arial" w:hAnsi="Arial"/>
          <w:sz w:val="17"/>
          <w:szCs w:val="17"/>
          <w:color w:val="auto"/>
        </w:rPr>
      </w:pPr>
      <w:r>
        <w:rPr>
          <w:rFonts w:ascii="Arial" w:cs="Arial" w:eastAsia="Arial" w:hAnsi="Arial"/>
          <w:sz w:val="17"/>
          <w:szCs w:val="17"/>
          <w:color w:val="auto"/>
        </w:rPr>
        <w:t>in the case of Covenant Defeasance, the Issuer shall have delivered to the Trustee an Opinion of Counsel reasonably acceptable to the Trustee confirming that, subject to customary assumptions and exclusions, the Holders of the Notes will not recognize income, gain or loss for U.S. federal income tax purposes as a result of such Covenant Defeasance and will be subject to such tax on the same amounts, in the same manner and at the same times as would have been the case if such Covenant Defeasance had not occurred;</w:t>
      </w:r>
    </w:p>
    <w:p>
      <w:pPr>
        <w:spacing w:after="0" w:line="63" w:lineRule="exact"/>
        <w:rPr>
          <w:rFonts w:ascii="Arial" w:cs="Arial" w:eastAsia="Arial" w:hAnsi="Arial"/>
          <w:sz w:val="17"/>
          <w:szCs w:val="17"/>
          <w:color w:val="auto"/>
        </w:rPr>
      </w:pPr>
    </w:p>
    <w:p>
      <w:pPr>
        <w:ind w:left="460" w:right="340" w:firstLine="443"/>
        <w:spacing w:after="0" w:line="264" w:lineRule="auto"/>
        <w:tabs>
          <w:tab w:leader="none" w:pos="115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no Default (other than that resulting from borrowing funds to be applied to make such deposit and any similar and simultaneous deposit relating to other Indebtedness and, in each case, the granting of Liens in connection therewith) shall have occurred and be continuing on the date of such deposit;</w:t>
      </w:r>
    </w:p>
    <w:p>
      <w:pPr>
        <w:spacing w:after="0" w:line="73" w:lineRule="exact"/>
        <w:rPr>
          <w:rFonts w:ascii="Arial" w:cs="Arial" w:eastAsia="Arial" w:hAnsi="Arial"/>
          <w:sz w:val="18"/>
          <w:szCs w:val="18"/>
          <w:color w:val="auto"/>
        </w:rPr>
      </w:pPr>
    </w:p>
    <w:p>
      <w:pPr>
        <w:ind w:left="460" w:right="100" w:firstLine="443"/>
        <w:spacing w:after="0" w:line="255" w:lineRule="auto"/>
        <w:tabs>
          <w:tab w:leader="none" w:pos="115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the Senior Credit Facilities, the Existing Secured Notes, the NXP Notes, the indentures pursuant to which the Existing Secured Notes were issued, the indentures pursuant to which the NXP Notes were issued or any other material agreement or instrument (other than this Indenture) to which, the Issuer or any Guarantor is a party or by which the Issuer or any Guarantor is bound (other than that resulting from any borrowing of funds to be applied to make the deposit required to effect such Legal Defeasance or Covenant Defeasance and any similar and simultaneous deposit relating to other Indebtedness, and the granting of Liens in connection therewith);</w:t>
      </w:r>
    </w:p>
    <w:p>
      <w:pPr>
        <w:spacing w:after="0" w:line="85" w:lineRule="exact"/>
        <w:rPr>
          <w:rFonts w:ascii="Arial" w:cs="Arial" w:eastAsia="Arial" w:hAnsi="Arial"/>
          <w:sz w:val="18"/>
          <w:szCs w:val="18"/>
          <w:color w:val="auto"/>
        </w:rPr>
      </w:pPr>
    </w:p>
    <w:p>
      <w:pPr>
        <w:ind w:left="460" w:right="100" w:firstLine="443"/>
        <w:spacing w:after="0" w:line="302" w:lineRule="auto"/>
        <w:tabs>
          <w:tab w:leader="none" w:pos="1153" w:val="left"/>
        </w:tabs>
        <w:numPr>
          <w:ilvl w:val="0"/>
          <w:numId w:val="490"/>
        </w:numPr>
        <w:rPr>
          <w:rFonts w:ascii="Arial" w:cs="Arial" w:eastAsia="Arial" w:hAnsi="Arial"/>
          <w:sz w:val="16"/>
          <w:szCs w:val="16"/>
          <w:color w:val="auto"/>
        </w:rPr>
      </w:pPr>
      <w:r>
        <w:rPr>
          <w:rFonts w:ascii="Arial" w:cs="Arial" w:eastAsia="Arial" w:hAnsi="Arial"/>
          <w:sz w:val="16"/>
          <w:szCs w:val="16"/>
          <w:color w:val="auto"/>
        </w:rPr>
        <w:t>the Issuer shall have delivered to the Trustee an Opinion of Counsel to the effect that, as of the date of such opinion and subject to customary assumptions and exclusions following the deposit, the trust funds will not be subject to the effect of any applicable bankruptcy, insolvency, reorganization, or similar laws affecting creditors’ rights generally (including Section 547 of Title 11 of the United States Code) under any applicable U.S. Federal or state law, and that the Trustee has a perfected security interest in such trust funds for the ratable benefit of the Holders;</w:t>
      </w:r>
    </w:p>
    <w:p>
      <w:pPr>
        <w:spacing w:after="0" w:line="46" w:lineRule="exact"/>
        <w:rPr>
          <w:rFonts w:ascii="Arial" w:cs="Arial" w:eastAsia="Arial" w:hAnsi="Arial"/>
          <w:sz w:val="16"/>
          <w:szCs w:val="16"/>
          <w:color w:val="auto"/>
        </w:rPr>
      </w:pPr>
    </w:p>
    <w:p>
      <w:pPr>
        <w:ind w:left="460" w:right="400" w:firstLine="443"/>
        <w:spacing w:after="0" w:line="277" w:lineRule="auto"/>
        <w:tabs>
          <w:tab w:leader="none" w:pos="115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the Issuer with the intent of defeating, hindering, delaying or defrauding any creditors of the Issuer or any Guarantor or others; and</w:t>
      </w:r>
    </w:p>
    <w:p>
      <w:pPr>
        <w:spacing w:after="0" w:line="62" w:lineRule="exact"/>
        <w:rPr>
          <w:rFonts w:ascii="Arial" w:cs="Arial" w:eastAsia="Arial" w:hAnsi="Arial"/>
          <w:sz w:val="18"/>
          <w:szCs w:val="18"/>
          <w:color w:val="auto"/>
        </w:rPr>
      </w:pPr>
    </w:p>
    <w:p>
      <w:pPr>
        <w:ind w:left="460" w:right="40" w:firstLine="443"/>
        <w:spacing w:after="0" w:line="264" w:lineRule="auto"/>
        <w:tabs>
          <w:tab w:leader="none" w:pos="115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8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Deposited Money and Government Securities to Be Held in Trust; Other Miscellaneous Provisions</w:t>
      </w:r>
      <w:r>
        <w:rPr>
          <w:rFonts w:ascii="Arial" w:cs="Arial" w:eastAsia="Arial" w:hAnsi="Arial"/>
          <w:sz w:val="17"/>
          <w:szCs w:val="17"/>
          <w:color w:val="auto"/>
        </w:rPr>
        <w:t>. Subject to Section 8.06 hereof, all money and Government Securities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this Indenture, to the payment, either directly or through any Paying Agent (including the Issuer or a Guarantor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302" w:name="page303"/>
    <w:bookmarkEnd w:id="302"/>
    <w:p>
      <w:pPr>
        <w:ind w:right="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shall pay and indemnify the Trustee against any tax, fee or other charge imposed on or assessed against the cash or Government Securities deposited pursuant to Section 8.04 hereof or the principal and interest received in respect thereof other than any such tax, fee or other charge which by law is for the account of the Holders of the outstanding Notes.</w:t>
      </w:r>
    </w:p>
    <w:p>
      <w:pPr>
        <w:spacing w:after="0" w:line="181" w:lineRule="exact"/>
        <w:rPr>
          <w:sz w:val="20"/>
          <w:szCs w:val="20"/>
          <w:color w:val="auto"/>
        </w:rPr>
      </w:pPr>
    </w:p>
    <w:p>
      <w:pPr>
        <w:jc w:val="both"/>
        <w:ind w:right="20" w:firstLine="913"/>
        <w:spacing w:after="0" w:line="302" w:lineRule="auto"/>
        <w:rPr>
          <w:sz w:val="20"/>
          <w:szCs w:val="20"/>
          <w:color w:val="auto"/>
        </w:rPr>
      </w:pPr>
      <w:r>
        <w:rPr>
          <w:rFonts w:ascii="Arial" w:cs="Arial" w:eastAsia="Arial" w:hAnsi="Arial"/>
          <w:sz w:val="16"/>
          <w:szCs w:val="16"/>
          <w:color w:val="auto"/>
        </w:rPr>
        <w:t>Anything in this Article 8 to the contrary notwithstanding, the Trustee shall deliver or pay to the Issuer from time to time upon the request of the Issuer any money or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154"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Repayment to Issuer</w:t>
      </w:r>
      <w:r>
        <w:rPr>
          <w:rFonts w:ascii="Arial" w:cs="Arial" w:eastAsia="Arial" w:hAnsi="Arial"/>
          <w:sz w:val="17"/>
          <w:szCs w:val="17"/>
          <w:color w:val="auto"/>
        </w:rPr>
        <w:t>. Subject to any applicable abandoned property law, any money deposited with the Trustee or any Paying Agent, or then held by the Issuer, in trust for the payment of the principal of, premium, if any,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73"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Reinstatement</w:t>
      </w:r>
      <w:r>
        <w:rPr>
          <w:rFonts w:ascii="Arial" w:cs="Arial" w:eastAsia="Arial" w:hAnsi="Arial"/>
          <w:sz w:val="17"/>
          <w:szCs w:val="17"/>
          <w:color w:val="auto"/>
        </w:rPr>
        <w:t>. If the Trustee or Paying Agent is unable to apply any United States dollars or Government Securities in accordance with Section 8.02 or 8.03 hereof,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provided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 SUPPLEMENT AND WAIVER</w:t>
      </w:r>
    </w:p>
    <w:p>
      <w:pPr>
        <w:spacing w:after="0" w:line="225"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Without Consent of Holders of Notes</w:t>
      </w:r>
      <w:r>
        <w:rPr>
          <w:rFonts w:ascii="Arial" w:cs="Arial" w:eastAsia="Arial" w:hAnsi="Arial"/>
          <w:sz w:val="18"/>
          <w:szCs w:val="18"/>
          <w:color w:val="auto"/>
        </w:rPr>
        <w:t>. Notwithstanding Section 9.02 hereof, the Issuer, the Guarantors and the Trustee may amend or supplement this Indenture and any Guarantee or Notes without the consent of any Holder:</w:t>
      </w:r>
    </w:p>
    <w:p>
      <w:pPr>
        <w:spacing w:after="0" w:line="62" w:lineRule="exact"/>
        <w:rPr>
          <w:sz w:val="20"/>
          <w:szCs w:val="20"/>
          <w:color w:val="auto"/>
        </w:rPr>
      </w:pPr>
    </w:p>
    <w:p>
      <w:pPr>
        <w:ind w:left="1160" w:hanging="257"/>
        <w:spacing w:after="0"/>
        <w:tabs>
          <w:tab w:leader="none" w:pos="11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to provide for uncertificated Notes of such series in addition to or in place of certificated Notes;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to comply with Section 5.01 hereof;</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to provide the assumption of the Issuer’s or any Guarantor’s obligations to the Holders;</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adversely affect the legal rights under this Indenture of any such 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74" w:right="259" w:bottom="1440" w:gutter="0" w:footer="0" w:header="0"/>
        </w:sectPr>
      </w:pPr>
    </w:p>
    <w:bookmarkStart w:id="303" w:name="page304"/>
    <w:bookmarkEnd w:id="303"/>
    <w:p>
      <w:pPr>
        <w:ind w:left="1160" w:hanging="257"/>
        <w:spacing w:after="0"/>
        <w:tabs>
          <w:tab w:leader="none" w:pos="11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add covenants for the benefit of the Holders or to surrender any right or power conferred upon the Issuer or any Guarantor;</w:t>
      </w:r>
    </w:p>
    <w:p>
      <w:pPr>
        <w:spacing w:after="0" w:line="117" w:lineRule="exact"/>
        <w:rPr>
          <w:rFonts w:ascii="Arial" w:cs="Arial" w:eastAsia="Arial" w:hAnsi="Arial"/>
          <w:sz w:val="18"/>
          <w:szCs w:val="18"/>
          <w:color w:val="auto"/>
        </w:rPr>
      </w:pPr>
    </w:p>
    <w:p>
      <w:pPr>
        <w:ind w:left="460" w:right="920" w:firstLine="443"/>
        <w:spacing w:after="0" w:line="277" w:lineRule="auto"/>
        <w:tabs>
          <w:tab w:leader="none" w:pos="115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hereunder pursuant to the requirements hereof;</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to add a Guarantor under this Indenture or to remove any Parent Guarantor that is not a Restricted Parent Guarantor;</w:t>
      </w:r>
    </w:p>
    <w:p>
      <w:pPr>
        <w:spacing w:after="0" w:line="117" w:lineRule="exact"/>
        <w:rPr>
          <w:rFonts w:ascii="Arial" w:cs="Arial" w:eastAsia="Arial" w:hAnsi="Arial"/>
          <w:sz w:val="18"/>
          <w:szCs w:val="18"/>
          <w:color w:val="auto"/>
        </w:rPr>
      </w:pPr>
    </w:p>
    <w:p>
      <w:pPr>
        <w:ind w:left="460" w:right="80" w:firstLine="443"/>
        <w:spacing w:after="0" w:line="264" w:lineRule="auto"/>
        <w:tabs>
          <w:tab w:leader="none" w:pos="115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to conform the text of this Indenture, Guarantees or the Notes to any provision of the “Description of the Notes” section of the Offering Memorandum to the extent that such provision in such “Description of the notes” section was intended to be a verbatim recitation of a provision of this Indenture, Guarantee or Notes; or</w:t>
      </w:r>
    </w:p>
    <w:p>
      <w:pPr>
        <w:spacing w:after="0" w:line="73" w:lineRule="exact"/>
        <w:rPr>
          <w:rFonts w:ascii="Arial" w:cs="Arial" w:eastAsia="Arial" w:hAnsi="Arial"/>
          <w:sz w:val="18"/>
          <w:szCs w:val="18"/>
          <w:color w:val="auto"/>
        </w:rPr>
      </w:pPr>
    </w:p>
    <w:p>
      <w:pPr>
        <w:ind w:left="460" w:right="120" w:firstLine="443"/>
        <w:spacing w:after="0" w:line="259" w:lineRule="auto"/>
        <w:tabs>
          <w:tab w:leader="none" w:pos="124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to make any amendment to the provisions of this Indenture relating to the transfer and legending of Notes as permitted by this Indenture, including, without limitation to facilitate the issuance and administration of the Notes; </w:t>
      </w:r>
      <w:r>
        <w:rPr>
          <w:rFonts w:ascii="Arial" w:cs="Arial" w:eastAsia="Arial" w:hAnsi="Arial"/>
          <w:sz w:val="18"/>
          <w:szCs w:val="18"/>
          <w:u w:val="single" w:color="auto"/>
          <w:color w:val="auto"/>
        </w:rPr>
        <w:t>provided</w:t>
      </w:r>
      <w:r>
        <w:rPr>
          <w:rFonts w:ascii="Arial" w:cs="Arial" w:eastAsia="Arial" w:hAnsi="Arial"/>
          <w:sz w:val="18"/>
          <w:szCs w:val="18"/>
          <w:color w:val="auto"/>
        </w:rPr>
        <w:t>, that (i) compliance with this Indenture as so amended would not result in Notes being transferred in violation of the Securities Act or any applicable securities law and (ii) such amendment does not materially and adversely affect the rights of Holders to transfer Notes.</w:t>
      </w:r>
    </w:p>
    <w:p>
      <w:pPr>
        <w:spacing w:after="0" w:line="78" w:lineRule="exact"/>
        <w:rPr>
          <w:rFonts w:ascii="Arial" w:cs="Arial" w:eastAsia="Arial" w:hAnsi="Arial"/>
          <w:sz w:val="18"/>
          <w:szCs w:val="18"/>
          <w:color w:val="auto"/>
        </w:rPr>
      </w:pPr>
    </w:p>
    <w:p>
      <w:pPr>
        <w:ind w:left="460" w:right="120" w:firstLine="443"/>
        <w:spacing w:after="0" w:line="264" w:lineRule="auto"/>
        <w:tabs>
          <w:tab w:leader="none" w:pos="1236"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to add additional assets as Collateral or to release any Collateral from the liens securing the Notes, in each case pursuant to the terms of this Indenture, the Collateral Documents relating to the Notes and the Intercreditor Agreement, as and when permitted or required by this Indenture, the Collateral Documents relating to the Notes or the Intercreditor Agreement.</w:t>
      </w:r>
    </w:p>
    <w:p>
      <w:pPr>
        <w:spacing w:after="0" w:line="18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In addition, the Collateral Agent and the Trustee are authorized to amend the Collateral Documents relating to the Notes to comply with the provisions hereof and thereof.</w:t>
      </w:r>
    </w:p>
    <w:p>
      <w:pPr>
        <w:spacing w:after="0" w:line="17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Upon the request of the Issuer accompanied by a resolution of its board of directors authorizing the execution of any such amended or supplemental indenture, and upon receipt by the Trustee of the documents described in Section 7.02 hereof, the Trustee shall join with the Issuer and the Guarantors in the execution of any amended or supplemental indenture authorized or permitted by the terms of this Indenture and to make any further appropriate agreements and stipulations that may be therein contained, but the Trustee shall have the right, but not be obligated to, enter into such amended or supplemental indenture that affects its own rights, duties or immunities under this Indenture or otherwise. Notwithstanding the foregoing, neither an Opinion of Counsel nor an Officer’s Certificate shall be required in connection with the addition of a Guarantor under this Indenture (other than as required by Section 4.15 hereof) upon execution and delivery by such Guarantor and the Trustee of a supplemental indenture to this Indenture, the form of which is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92"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With Consent of Holders of Notes</w:t>
      </w:r>
      <w:r>
        <w:rPr>
          <w:rFonts w:ascii="Arial" w:cs="Arial" w:eastAsia="Arial" w:hAnsi="Arial"/>
          <w:sz w:val="18"/>
          <w:szCs w:val="18"/>
          <w:color w:val="auto"/>
        </w:rPr>
        <w:t>. Except as provided below in this Section 9.02, the Issuer, the Guarantors and the Trustee may amend or supplement this Indenture, the Notes, any Guarantee, the Collateral Documents relating to the Notes with the consent of the Holders of at least a majority in principal amount of the Notes (including Additional Notes, if any) then outstanding voting as a single class (including consents obtained in connection with a tender offer or exchange offer for, or purchase of, the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any Guarantee, the Collateral Documents relating to the Notes or the Notes may be waived with the consent of the Holders of a majority in principal amount of the then outstanding Notes (including Additional Notes, if any) voting as a single class (including consents obtained in connection with a tender offer or exchange offer for, or purchase of, the Notes).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304" w:name="page305"/>
    <w:bookmarkEnd w:id="304"/>
    <w:p>
      <w:pPr>
        <w:ind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request of the Issuer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58"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It shall not be necessary for the consent of the Holders of Notes under this Section 9.02 to approve the particular form of any proposed amendment or waiver, but it shall be sufficient if such consent approves the substance thereof.</w:t>
      </w:r>
    </w:p>
    <w:p>
      <w:pPr>
        <w:spacing w:after="0" w:line="170"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After an amendment, supplement or waiver under this Section 9.02 becomes effective, the Issuer shall send to the Holders of Notes affected thereby a notice briefly describing the amendment, supplement or waiver. Any failure of the Issuer to send such notice, or any defect therein, shall not, however, in any way impair or affect the validity of any such amended or supplemental indenture or waiver.</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Without the consent of each affected Holder of Notes, an amendment or waiver under this Section 9.02 may not (with respect to any Notes held by a non-consenting Holder):</w:t>
      </w:r>
    </w:p>
    <w:p>
      <w:pPr>
        <w:spacing w:after="0" w:line="62" w:lineRule="exact"/>
        <w:rPr>
          <w:sz w:val="20"/>
          <w:szCs w:val="20"/>
          <w:color w:val="auto"/>
        </w:rPr>
      </w:pPr>
    </w:p>
    <w:p>
      <w:pPr>
        <w:ind w:left="1160" w:hanging="257"/>
        <w:spacing w:after="0"/>
        <w:tabs>
          <w:tab w:leader="none" w:pos="11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supplement or waiver;</w:t>
      </w:r>
    </w:p>
    <w:p>
      <w:pPr>
        <w:spacing w:after="0" w:line="117" w:lineRule="exact"/>
        <w:rPr>
          <w:rFonts w:ascii="Arial" w:cs="Arial" w:eastAsia="Arial" w:hAnsi="Arial"/>
          <w:sz w:val="18"/>
          <w:szCs w:val="18"/>
          <w:color w:val="auto"/>
        </w:rPr>
      </w:pPr>
    </w:p>
    <w:p>
      <w:pPr>
        <w:jc w:val="both"/>
        <w:ind w:left="460" w:right="60" w:firstLine="443"/>
        <w:spacing w:after="0" w:line="259" w:lineRule="auto"/>
        <w:tabs>
          <w:tab w:leader="none" w:pos="1153"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reduce the principal of or change the fixed final maturity of any such Note or alter or waive the provisions with respect to the redemption of such Note (other than provisions relating to Section 3.09, Section 4.10 and Section 4.14 hereof to the extent that any such amendment or waiver does not have the effect of reducing the principal of or changing the fixed final maturity of any such Note or altering or waiving the provisions with respect to the redemption of such Notes);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17"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493"/>
        </w:numPr>
        <w:rPr>
          <w:rFonts w:ascii="Arial" w:cs="Arial" w:eastAsia="Arial" w:hAnsi="Arial"/>
          <w:sz w:val="18"/>
          <w:szCs w:val="18"/>
          <w:color w:val="auto"/>
        </w:rPr>
      </w:pPr>
      <w:r>
        <w:rPr>
          <w:rFonts w:ascii="Arial" w:cs="Arial" w:eastAsia="Arial" w:hAnsi="Arial"/>
          <w:sz w:val="18"/>
          <w:szCs w:val="18"/>
          <w:color w:val="auto"/>
        </w:rPr>
        <w:t>waive a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 or in respect of a covenant or provision contained in this Indenture or any Guarantee which cannot be amended or modified without the consent of all Holders;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therein;</w:t>
      </w:r>
    </w:p>
    <w:p>
      <w:pPr>
        <w:spacing w:after="0" w:line="117" w:lineRule="exact"/>
        <w:rPr>
          <w:rFonts w:ascii="Arial" w:cs="Arial" w:eastAsia="Arial" w:hAnsi="Arial"/>
          <w:sz w:val="18"/>
          <w:szCs w:val="18"/>
          <w:color w:val="auto"/>
        </w:rPr>
      </w:pPr>
    </w:p>
    <w:p>
      <w:pPr>
        <w:ind w:left="460" w:right="480" w:firstLine="443"/>
        <w:spacing w:after="0" w:line="277" w:lineRule="auto"/>
        <w:tabs>
          <w:tab w:leader="none" w:pos="1153" w:val="left"/>
        </w:tabs>
        <w:numPr>
          <w:ilvl w:val="0"/>
          <w:numId w:val="493"/>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to receive payments of principal of or premium, if any, or interest on the Notes;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of, or interest on such Holder’s Notes on or after the due dates therefor or to institute suit for the enforcement of any payment on or with respect to such Holder’s Notes;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40"/>
          </w:cols>
          <w:pgMar w:left="240" w:top="273" w:right="319" w:bottom="1440" w:gutter="0" w:footer="0" w:header="0"/>
        </w:sectPr>
      </w:pPr>
    </w:p>
    <w:bookmarkStart w:id="305" w:name="page306"/>
    <w:bookmarkEnd w:id="305"/>
    <w:p>
      <w:pPr>
        <w:ind w:left="1160" w:hanging="257"/>
        <w:spacing w:after="0"/>
        <w:tabs>
          <w:tab w:leader="none" w:pos="11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any change to or modify the ranking of the Notes that would adversely affect the Holders;</w:t>
      </w:r>
    </w:p>
    <w:p>
      <w:pPr>
        <w:spacing w:after="0" w:line="117" w:lineRule="exact"/>
        <w:rPr>
          <w:rFonts w:ascii="Arial" w:cs="Arial" w:eastAsia="Arial" w:hAnsi="Arial"/>
          <w:sz w:val="18"/>
          <w:szCs w:val="18"/>
          <w:color w:val="auto"/>
        </w:rPr>
      </w:pPr>
    </w:p>
    <w:p>
      <w:pPr>
        <w:ind w:left="460" w:right="100" w:firstLine="443"/>
        <w:spacing w:after="0" w:line="308" w:lineRule="auto"/>
        <w:tabs>
          <w:tab w:leader="none" w:pos="1243" w:val="left"/>
        </w:tabs>
        <w:numPr>
          <w:ilvl w:val="0"/>
          <w:numId w:val="494"/>
        </w:numPr>
        <w:rPr>
          <w:rFonts w:ascii="Arial" w:cs="Arial" w:eastAsia="Arial" w:hAnsi="Arial"/>
          <w:sz w:val="17"/>
          <w:szCs w:val="17"/>
          <w:color w:val="auto"/>
        </w:rPr>
      </w:pPr>
      <w:r>
        <w:rPr>
          <w:rFonts w:ascii="Arial" w:cs="Arial" w:eastAsia="Arial" w:hAnsi="Arial"/>
          <w:sz w:val="17"/>
          <w:szCs w:val="17"/>
          <w:color w:val="auto"/>
        </w:rPr>
        <w:t>except as expressly permitted by this Indenture, modify the Guarantees of any Restricted Parent Guarantor or Significant Subsidiary (or any group of Subsidiaries that together would constitute a Significant Subsidiary) in any manner adverse to the Holders of the Notes; or</w:t>
      </w:r>
    </w:p>
    <w:p>
      <w:pPr>
        <w:spacing w:after="0" w:line="38" w:lineRule="exact"/>
        <w:rPr>
          <w:rFonts w:ascii="Arial" w:cs="Arial" w:eastAsia="Arial" w:hAnsi="Arial"/>
          <w:sz w:val="17"/>
          <w:szCs w:val="17"/>
          <w:color w:val="auto"/>
        </w:rPr>
      </w:pPr>
    </w:p>
    <w:p>
      <w:pPr>
        <w:ind w:left="460" w:right="120" w:firstLine="443"/>
        <w:spacing w:after="0" w:line="342" w:lineRule="auto"/>
        <w:tabs>
          <w:tab w:leader="none" w:pos="123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make any change in the provisions described under Section 4.05(b)-(h) hereof that adversely affects the rights of any Holder of Notes or amend the terms of any Notes or this Indenture in a way that would result in the loss of an exemption from any of the Taxes described in such Section.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Without the consent of at least two-thirds in aggregate principal amount of Notes then outstanding, an amendment or waiver may not:</w:t>
      </w:r>
    </w:p>
    <w:p>
      <w:pPr>
        <w:spacing w:after="0" w:line="117" w:lineRule="exact"/>
        <w:rPr>
          <w:sz w:val="20"/>
          <w:szCs w:val="20"/>
          <w:color w:val="auto"/>
        </w:rPr>
      </w:pPr>
    </w:p>
    <w:p>
      <w:pPr>
        <w:ind w:left="460" w:right="600" w:firstLine="443"/>
        <w:spacing w:after="0" w:line="264" w:lineRule="auto"/>
        <w:tabs>
          <w:tab w:leader="none" w:pos="1153" w:val="left"/>
        </w:tabs>
        <w:numPr>
          <w:ilvl w:val="0"/>
          <w:numId w:val="495"/>
        </w:numPr>
        <w:rPr>
          <w:rFonts w:ascii="Arial" w:cs="Arial" w:eastAsia="Arial" w:hAnsi="Arial"/>
          <w:sz w:val="18"/>
          <w:szCs w:val="18"/>
          <w:color w:val="auto"/>
        </w:rPr>
      </w:pPr>
      <w:r>
        <w:rPr>
          <w:rFonts w:ascii="Arial" w:cs="Arial" w:eastAsia="Arial" w:hAnsi="Arial"/>
          <w:sz w:val="18"/>
          <w:szCs w:val="18"/>
          <w:color w:val="auto"/>
        </w:rPr>
        <w:t>modify any Collateral Document relating to the Notes or the provisions of this Indenture dealing with the Collateral Documents or the application of trust moneys, or otherwise release all or substantially all of the Collateral, except as otherwise permitted by this Indenture or the Collateral Documents; or</w:t>
      </w:r>
    </w:p>
    <w:p>
      <w:pPr>
        <w:spacing w:after="0" w:line="73"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495"/>
        </w:numPr>
        <w:rPr>
          <w:rFonts w:ascii="Arial" w:cs="Arial" w:eastAsia="Arial" w:hAnsi="Arial"/>
          <w:sz w:val="18"/>
          <w:szCs w:val="18"/>
          <w:color w:val="auto"/>
        </w:rPr>
      </w:pPr>
      <w:r>
        <w:rPr>
          <w:rFonts w:ascii="Arial" w:cs="Arial" w:eastAsia="Arial" w:hAnsi="Arial"/>
          <w:sz w:val="18"/>
          <w:szCs w:val="18"/>
          <w:color w:val="auto"/>
        </w:rPr>
        <w:t>modify the Intercreditor Agreement in any manner materially adverse to the Holders except as otherwise permitted by this Indenture or the Collateral Documents.</w:t>
      </w:r>
    </w:p>
    <w:p>
      <w:pPr>
        <w:spacing w:after="0" w:line="170"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58"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spacing w:after="0" w:line="173"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Notation on or Exchange of Notes</w:t>
      </w:r>
      <w:r>
        <w:rPr>
          <w:rFonts w:ascii="Arial" w:cs="Arial" w:eastAsia="Arial" w:hAnsi="Arial"/>
          <w:sz w:val="18"/>
          <w:szCs w:val="18"/>
          <w:color w:val="auto"/>
        </w:rPr>
        <w:t>. 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Failure to make the appropriate notation or issue a new Note shall not affect the validity and effect of such amendment, supplement or waiver.</w:t>
      </w:r>
    </w:p>
    <w:p>
      <w:pPr>
        <w:spacing w:after="0" w:line="24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Trustee to Sign Amendments, etc</w:t>
      </w:r>
      <w:r>
        <w:rPr>
          <w:rFonts w:ascii="Arial" w:cs="Arial" w:eastAsia="Arial" w:hAnsi="Arial"/>
          <w:sz w:val="18"/>
          <w:szCs w:val="18"/>
          <w:color w:val="auto"/>
        </w:rPr>
        <w:t>. The Trustee shall sign, and shall direct the Collateral Agent to sign (as applicable), any amendment, supplement or waiver authorized pursuant to this Article 9 if the amendment or supplement does not adversely affect the rights, duties, liabilities or immunities of the Trustee and the Collateral Agent, as applicable. The Issuer may not sign an amendment, supplement or waiver until the board of directors of the Issuer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3" w:right="239" w:bottom="1440" w:gutter="0" w:footer="0" w:header="0"/>
        </w:sectPr>
      </w:pPr>
    </w:p>
    <w:bookmarkStart w:id="306" w:name="page307"/>
    <w:bookmarkEnd w:id="30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approves it. In executing any amendment, supplement or waiver, the Trustee and the Collateral Agent shall be entitled to receive, upon request, and (subject to Section 7.01 hereof) shall be fully protected in relying upon, in addition to the documents required by Section 13.03 hereof, an Officer’s Certificate and an Opinion of Counsel stating that the execution of such amended or supplemental indenture is authorized or permitted by this Indenture and that such amendment, supplement or waiver is the legal, valid and binding obligation of the Issuer and any Guarantors party thereto, enforceable against them in accordance with its terms, subject to customary exceptions, and complies with the provisions hereof. Notwithstanding the foregoing, except as required by Section 4.15 hereof, neither an Opinion of Counsel nor an Officer’s Certificate will be required for the Trustee to execute any amendment or supplement adding a new Guarantor under this Indenture.</w:t>
      </w:r>
    </w:p>
    <w:p>
      <w:pPr>
        <w:spacing w:after="0" w:line="189"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Payment for Consent</w:t>
      </w:r>
      <w:r>
        <w:rPr>
          <w:rFonts w:ascii="Arial" w:cs="Arial" w:eastAsia="Arial" w:hAnsi="Arial"/>
          <w:sz w:val="17"/>
          <w:szCs w:val="17"/>
          <w:color w:val="auto"/>
        </w:rPr>
        <w:t>. Neither the Issuer, the Company nor any Affiliate of the Issuer shall,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all Holders and is paid to all Holders that so consent, waive or agree to amend in the time frame set forth in solicitation documents relating to such consent, waiver or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Additional Voting Terms; Calculation of Principal Amount</w:t>
      </w:r>
      <w:r>
        <w:rPr>
          <w:rFonts w:ascii="Arial" w:cs="Arial" w:eastAsia="Arial" w:hAnsi="Arial"/>
          <w:sz w:val="18"/>
          <w:szCs w:val="18"/>
          <w:color w:val="auto"/>
        </w:rPr>
        <w:t>. Except as provided in the proviso to the first sentence of</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Section 9.02, all Notes issued under this Indenture shall vote and consent together on all matters (as to which any of such Notes may vote) as one class and no series of Notes will have the right to vote or consent as a separate series on any matter. Determinations as to whether Holders of the requisite aggregate principal amount of Notes have concurred in any direction, waiver or consent shall be made in accordance with this Article Nine.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GUARANTEES</w:t>
      </w:r>
    </w:p>
    <w:p>
      <w:pPr>
        <w:spacing w:after="0" w:line="225"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Guarantee</w:t>
      </w:r>
      <w:r>
        <w:rPr>
          <w:rFonts w:ascii="Arial" w:cs="Arial" w:eastAsia="Arial" w:hAnsi="Arial"/>
          <w:sz w:val="17"/>
          <w:szCs w:val="17"/>
          <w:color w:val="auto"/>
        </w:rPr>
        <w:t>. Subject to this Article 10,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 (a) the principal of and interest and premium, if any, on the Notes shall be promptly paid in full when due, whether at maturity, by acceleration, redemption or otherwise, and interest on the overdue principal of and interest on the Notes, if any, if lawful, and all other obligations of the Issuer to the Holders or the Trustee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 any right to require a proceeding first against the Issuer, protest, notice and all demands whatsoever and covenants that this Guarantee shall not be discharged except by complete performance of the obligations contained in the Notes and this Indenture.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307" w:name="page308"/>
    <w:bookmarkEnd w:id="307"/>
    <w:p>
      <w:pPr>
        <w:ind w:right="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Guarantor also agrees to pay any and all costs and expenses (including reasonable attorneys’ fees) incurred by the Trustee or any Holder in enforcing any rights under this Section 10.01.</w:t>
      </w:r>
    </w:p>
    <w:p>
      <w:pPr>
        <w:spacing w:after="0" w:line="170"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If any Holder or the Trustee is required by any court or otherwise to return to the Issuer, the Guarantors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18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Article 6 hereof for the purposes of this Guarantee, notwithstanding any stay, injunction or other prohibition preventing such acceleration in respect of the obligations guaranteed hereby, and (y) in the event of any declaration of acceleration of such obligations as provided in Article 6 hereof, such obligations (whether or not due and payable) shall forthwith become due and payable by the Guarantors for the purpose of this Guarantee. The Guarantors shall have the right to seek contribution from any non-paying Guarantor so long as the exercise of such right does not impair the rights of the Holders under the Guarantees.</w:t>
      </w:r>
    </w:p>
    <w:p>
      <w:pPr>
        <w:spacing w:after="0" w:line="16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Each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6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In case any provision of any Guarantee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 xml:space="preserve">The Guarantees issued by each Unrestricted Parent Guarantor shall be a general unsecured senior obligation of such Guarantor and shall be </w:t>
      </w:r>
      <w:r>
        <w:rPr>
          <w:rFonts w:ascii="Arial" w:cs="Arial" w:eastAsia="Arial" w:hAnsi="Arial"/>
          <w:sz w:val="16"/>
          <w:szCs w:val="16"/>
          <w:u w:val="single" w:color="auto"/>
          <w:color w:val="auto"/>
        </w:rPr>
        <w:t>pari</w:t>
      </w:r>
      <w:r>
        <w:rPr>
          <w:rFonts w:ascii="Arial" w:cs="Arial" w:eastAsia="Arial" w:hAnsi="Arial"/>
          <w:sz w:val="16"/>
          <w:szCs w:val="16"/>
          <w:color w:val="auto"/>
        </w:rPr>
        <w:t xml:space="preserve"> </w:t>
      </w:r>
      <w:r>
        <w:rPr>
          <w:rFonts w:ascii="Arial" w:cs="Arial" w:eastAsia="Arial" w:hAnsi="Arial"/>
          <w:sz w:val="16"/>
          <w:szCs w:val="16"/>
          <w:u w:val="single" w:color="auto"/>
          <w:color w:val="auto"/>
        </w:rPr>
        <w:t>passu</w:t>
      </w:r>
      <w:r>
        <w:rPr>
          <w:rFonts w:ascii="Arial" w:cs="Arial" w:eastAsia="Arial" w:hAnsi="Arial"/>
          <w:sz w:val="16"/>
          <w:szCs w:val="16"/>
          <w:color w:val="auto"/>
        </w:rPr>
        <w:t xml:space="preserve"> in right of payment with all existing and future Senior Indebtedness of such Guarantor, and the Guarantees issued by each Secured Guarantor will be senior secured obligations of such Guarantor and shall be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in right of payment with all existing and future First Lien Obligations and Senior Indebtedness of such Guarantor, provided that, in each case and for the avoidance of doubt, nothing herein prevents the Credit Facilities Obligations, and Hedging Obligations provided by any lender or letter of credit issuer (or any affiliate thereof) under the Revolving Credit Facility, having priority in right of payment in relation to the Collateral specified by the Intercreditor Agreement for an aggregate principal amount not exceeding €750 million.</w:t>
      </w:r>
    </w:p>
    <w:p>
      <w:pPr>
        <w:spacing w:after="0" w:line="16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Each payment to be made by a Guarantor in respect of its Guarantee shall be made without set-off, counterclaim, reduction or diminution of any kind or nature.</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Limitation on Guarantor Liability</w:t>
      </w:r>
      <w:r>
        <w:rPr>
          <w:rFonts w:ascii="Arial" w:cs="Arial" w:eastAsia="Arial" w:hAnsi="Arial"/>
          <w:sz w:val="18"/>
          <w:szCs w:val="18"/>
          <w:color w:val="auto"/>
        </w:rPr>
        <w:t>. 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74" w:right="259" w:bottom="1440" w:gutter="0" w:footer="0" w:header="0"/>
        </w:sectPr>
      </w:pPr>
    </w:p>
    <w:bookmarkStart w:id="308" w:name="page309"/>
    <w:bookmarkEnd w:id="30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similar federal or state law to the extent applicable to any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conveyance or fraudulent transfer under applicable law. Each Subsidiary Guarantor that makes a payment under its Guarantee shall be entitled upon payment in full of all guaranteed obligations under this Indenture to a contribution from each other Subsidiary Guarantor in an amount equal to such other Subsidiary Guarantor’s pro rata portion of such payment based on the respective net assets of all the Subsidiary Guarantors at the time of such payment determined in accordance with GAAP.</w:t>
      </w:r>
    </w:p>
    <w:p>
      <w:pPr>
        <w:spacing w:after="0" w:line="166" w:lineRule="exact"/>
        <w:rPr>
          <w:sz w:val="20"/>
          <w:szCs w:val="20"/>
          <w:color w:val="auto"/>
        </w:rPr>
      </w:pPr>
    </w:p>
    <w:p>
      <w:pPr>
        <w:ind w:right="320" w:firstLine="913"/>
        <w:spacing w:after="0" w:line="308"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Execution and Delivery</w:t>
      </w:r>
      <w:r>
        <w:rPr>
          <w:rFonts w:ascii="Arial" w:cs="Arial" w:eastAsia="Arial" w:hAnsi="Arial"/>
          <w:sz w:val="17"/>
          <w:szCs w:val="17"/>
          <w:color w:val="auto"/>
        </w:rPr>
        <w:t>. To evidence its Guarantee set forth in Section 10.01 hereof, each Guarantor hereby agrees that this Indenture shall be executed on behalf of such Guarantor by its President, one of its Vice Presidents or one of its Assistant Vice Presidents.</w:t>
      </w:r>
    </w:p>
    <w:p>
      <w:pPr>
        <w:spacing w:after="0" w:line="14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Each Guarantor hereby agrees that its Guarantee set forth in Section 10.01 hereof shall remain in full force and effect notwithstanding the absence of the endorsement of any notation of such Guarantee on the Notes.</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If an Officer whose signature is on this Indenture no longer holds that office at the time the Trustee authenticates the Note, the Guarantee shall be valid nevertheless.</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the Guarantee set forth in this Indenture on behalf of the Guarantors.</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If required by Section 4.15 hereof, the Issuer shall cause any newly created or acquired Restricted Subsidiary to comply with the provisions of Section 4.15 hereof and this Article 10, to the extent applicable.</w:t>
      </w:r>
    </w:p>
    <w:p>
      <w:pPr>
        <w:spacing w:after="0" w:line="17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Subrogation</w:t>
      </w:r>
      <w:r>
        <w:rPr>
          <w:rFonts w:ascii="Arial" w:cs="Arial" w:eastAsia="Arial" w:hAnsi="Arial"/>
          <w:sz w:val="18"/>
          <w:szCs w:val="18"/>
          <w:color w:val="auto"/>
        </w:rPr>
        <w:t>. Each Guarantor shall be subrogated to all rights of Holders of Notes against the Issuer in respect of any amounts paid by any Guarantor pursuant to the provisions of Section 10.01 hereof; provided that, if an Event of Default has occurred and is continuing, no Guarantor shall be entitled to enforce or receive any payments arising out of, or based upon, such right of subrogation until all amounts then due and payable by the Issuer under this Indenture or the Notes shall have been paid in full.</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Benefits Acknowledged</w:t>
      </w:r>
      <w:r>
        <w:rPr>
          <w:rFonts w:ascii="Arial" w:cs="Arial" w:eastAsia="Arial" w:hAnsi="Arial"/>
          <w:sz w:val="18"/>
          <w:szCs w:val="18"/>
          <w:color w:val="auto"/>
        </w:rPr>
        <w:t>. Each Guarantor acknowledges that it will receive direct and indirect benefits from the financing arrangements contemplated by this Indenture and that the guarantee and waivers made by it pursuant to its Guarantee are knowingly made in contemplation of such benefits.</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Release of Guarantees</w:t>
      </w:r>
      <w:r>
        <w:rPr>
          <w:rFonts w:ascii="Arial" w:cs="Arial" w:eastAsia="Arial" w:hAnsi="Arial"/>
          <w:sz w:val="18"/>
          <w:szCs w:val="18"/>
          <w:color w:val="auto"/>
        </w:rPr>
        <w:t>. A Guarantee by a Guarantor shall be automatically and unconditionally released and discharged, and no further action by such Guarantor, the Issuer or the Trustee is required for the release of such Guarantor’s Guarantee, upon:</w:t>
      </w:r>
    </w:p>
    <w:p>
      <w:pPr>
        <w:spacing w:after="0" w:line="62" w:lineRule="exact"/>
        <w:rPr>
          <w:sz w:val="20"/>
          <w:szCs w:val="20"/>
          <w:color w:val="auto"/>
        </w:rPr>
      </w:pPr>
    </w:p>
    <w:p>
      <w:pPr>
        <w:ind w:left="460" w:right="280" w:firstLine="443"/>
        <w:spacing w:after="0" w:line="264" w:lineRule="auto"/>
        <w:tabs>
          <w:tab w:leader="none" w:pos="1153"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 any sale, exchange or transfer (by merger or otherwise) of (i) the Capital Stock of such Guarantor (including any sale, exchange or transfer), after which the applicable Guarantor is no longer a Restricted Subsidiary or (ii) all or substantially all the assets of such Guarantor, in each case made in compliance with the applicable provisions of this Indenture;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4" w:right="239" w:bottom="1440" w:gutter="0" w:footer="0" w:header="0"/>
        </w:sectPr>
      </w:pPr>
    </w:p>
    <w:bookmarkStart w:id="309" w:name="page310"/>
    <w:bookmarkEnd w:id="309"/>
    <w:p>
      <w:pPr>
        <w:ind w:left="460" w:right="40" w:firstLine="881"/>
        <w:spacing w:after="0" w:line="264" w:lineRule="auto"/>
        <w:tabs>
          <w:tab w:leader="none" w:pos="1621" w:val="left"/>
        </w:tabs>
        <w:numPr>
          <w:ilvl w:val="1"/>
          <w:numId w:val="4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release or discharge of the guarantee by such Guarantor of Indebtedness under all other First Lien Obligations (including the Senior Credit Facilities, the NXP Notes and the Existing Secured Notes) or such other guarantee that resulted in the creation of such Guarantee, except a discharge or release by or as a result of payment under such guarantee;</w:t>
      </w:r>
    </w:p>
    <w:p>
      <w:pPr>
        <w:spacing w:after="0" w:line="73" w:lineRule="exact"/>
        <w:rPr>
          <w:rFonts w:ascii="Arial" w:cs="Arial" w:eastAsia="Arial" w:hAnsi="Arial"/>
          <w:sz w:val="18"/>
          <w:szCs w:val="18"/>
          <w:color w:val="auto"/>
        </w:rPr>
      </w:pPr>
    </w:p>
    <w:p>
      <w:pPr>
        <w:ind w:left="460" w:right="580" w:firstLine="881"/>
        <w:spacing w:after="0" w:line="277" w:lineRule="auto"/>
        <w:tabs>
          <w:tab w:leader="none" w:pos="1621"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designation of any Restricted Subsidiary that is a Guarantor as an Unrestricted Subsidiary in compliance with the applicable provisions of this Indenture;</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release of an Unrestricted Parent Guarantor of all Senior Credit Agreement Obligations; or</w:t>
      </w:r>
    </w:p>
    <w:p>
      <w:pPr>
        <w:spacing w:after="0" w:line="117" w:lineRule="exact"/>
        <w:rPr>
          <w:rFonts w:ascii="Arial" w:cs="Arial" w:eastAsia="Arial" w:hAnsi="Arial"/>
          <w:sz w:val="18"/>
          <w:szCs w:val="18"/>
          <w:color w:val="auto"/>
        </w:rPr>
      </w:pPr>
    </w:p>
    <w:p>
      <w:pPr>
        <w:ind w:left="460" w:right="360" w:firstLine="881"/>
        <w:spacing w:after="0" w:line="277" w:lineRule="auto"/>
        <w:tabs>
          <w:tab w:leader="none" w:pos="1611"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exercise by the Issuer of its Legal Defeasance option or Covenant Defeasance option in accordance with Article 8 hereof or the discharge of the Issuer’s obligations under this Indenture in accordance with the terms of this Indenture; and</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498"/>
        </w:numPr>
        <w:rPr>
          <w:rFonts w:ascii="Arial" w:cs="Arial" w:eastAsia="Arial" w:hAnsi="Arial"/>
          <w:sz w:val="18"/>
          <w:szCs w:val="18"/>
          <w:color w:val="auto"/>
        </w:rPr>
      </w:pPr>
      <w:r>
        <w:rPr>
          <w:rFonts w:ascii="Arial" w:cs="Arial" w:eastAsia="Arial" w:hAnsi="Arial"/>
          <w:sz w:val="18"/>
          <w:szCs w:val="18"/>
          <w:color w:val="auto"/>
        </w:rPr>
        <w:t>such Guarantor delivering to the Trustee an Officer’s Certificate of such Guarantor and an Opinion of Counsel, each stating that all conditions precedent provided for in this Indenture relating to such transaction have been complied with.</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Agreed Security Principles</w:t>
      </w:r>
      <w:r>
        <w:rPr>
          <w:rFonts w:ascii="Arial" w:cs="Arial" w:eastAsia="Arial" w:hAnsi="Arial"/>
          <w:sz w:val="18"/>
          <w:szCs w:val="18"/>
          <w:color w:val="auto"/>
        </w:rPr>
        <w:t>. Notwithstanding anything to the contrary provided elsewhere in this Article 10, the obligations of the Company and each Guarantor pursuant to this Article 10 shall be subject to the Agreed Security Principles.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COLLATERAL AND SECURITY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The Collateral Agent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91" w:lineRule="auto"/>
        <w:tabs>
          <w:tab w:leader="none" w:pos="1158" w:val="left"/>
        </w:tabs>
        <w:numPr>
          <w:ilvl w:val="1"/>
          <w:numId w:val="499"/>
        </w:numPr>
        <w:rPr>
          <w:rFonts w:ascii="Arial" w:cs="Arial" w:eastAsia="Arial" w:hAnsi="Arial"/>
          <w:sz w:val="16"/>
          <w:szCs w:val="16"/>
          <w:color w:val="auto"/>
        </w:rPr>
      </w:pPr>
      <w:r>
        <w:rPr>
          <w:rFonts w:ascii="Arial" w:cs="Arial" w:eastAsia="Arial" w:hAnsi="Arial"/>
          <w:sz w:val="16"/>
          <w:szCs w:val="16"/>
          <w:color w:val="auto"/>
        </w:rPr>
        <w:t>Each of the Trustee and, by accepting the Notes, the Holders hereby appoints and authorizes the Collateral Agent to act as collateral agent and in such capacity to act as the agent of (and to hold any security interest created by the Collateral Documents relating to the Notes for and on behalf of or on trust for) the Trustee and each Holders for purposes of acquiring, holding and enforcing any and all Liens on Collateral granted by the Issuer or any Secured Guarantor to secure any of the Obligations, together with such powers and discretion as are reasonably incidental thereto. The use of the term “agent” herein with reference to the Collateral Agent is not intended to connote any fiduciary or other implied (or express) obligations arising under agency doctrine of any applicable law other than as a “representative” as such term is used in Section 9-102(a) (72)(E) of the Uniform Commercial Code. Instead, such term is used merely as a matter of market custom, and is intended to create or reflect only an administrative relationship between independent contracting parties.</w:t>
      </w:r>
    </w:p>
    <w:p>
      <w:pPr>
        <w:spacing w:after="0" w:line="59" w:lineRule="exact"/>
        <w:rPr>
          <w:rFonts w:ascii="Arial" w:cs="Arial" w:eastAsia="Arial" w:hAnsi="Arial"/>
          <w:sz w:val="16"/>
          <w:szCs w:val="16"/>
          <w:color w:val="auto"/>
        </w:rPr>
      </w:pPr>
    </w:p>
    <w:p>
      <w:pPr>
        <w:jc w:val="both"/>
        <w:ind w:right="200" w:firstLine="921"/>
        <w:spacing w:after="0" w:line="264" w:lineRule="auto"/>
        <w:tabs>
          <w:tab w:leader="none" w:pos="1168" w:val="left"/>
        </w:tabs>
        <w:numPr>
          <w:ilvl w:val="1"/>
          <w:numId w:val="499"/>
        </w:numPr>
        <w:rPr>
          <w:rFonts w:ascii="Arial" w:cs="Arial" w:eastAsia="Arial" w:hAnsi="Arial"/>
          <w:sz w:val="18"/>
          <w:szCs w:val="18"/>
          <w:color w:val="auto"/>
        </w:rPr>
      </w:pPr>
      <w:r>
        <w:rPr>
          <w:rFonts w:ascii="Arial" w:cs="Arial" w:eastAsia="Arial" w:hAnsi="Arial"/>
          <w:sz w:val="18"/>
          <w:szCs w:val="18"/>
          <w:color w:val="auto"/>
        </w:rPr>
        <w:t>The Collateral Agent shall be subject to such directions as may be given it by the Trustee from time to time as required or permitted by this Indenture and the Intercreditor Agreement. Except as directed by the Trustee and as required or permitted by this Indenture, the Intercreditor Agreement or the other Collateral Documents relating to the Notes, the Collateral Agent shall not be obligated:</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to act upon directions purported to be delivered to it by any other Person;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to foreclose upon or otherwise enforce any Lien securing the Notes and the Guarantees of the Notes; or</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213"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to take any other action whatsoever with regard to any or all of the Liens securing the Notes and the Guarantees of the Notes, the Collateral Documents relating to the Notes or the Collateral.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73" w:right="259" w:bottom="1440" w:gutter="0" w:footer="0" w:header="0"/>
        </w:sectPr>
      </w:pPr>
    </w:p>
    <w:bookmarkStart w:id="310" w:name="page311"/>
    <w:bookmarkEnd w:id="310"/>
    <w:p>
      <w:pPr>
        <w:ind w:left="-20" w:right="100" w:firstLine="921"/>
        <w:spacing w:after="0" w:line="264" w:lineRule="auto"/>
        <w:tabs>
          <w:tab w:leader="none" w:pos="1138" w:val="left"/>
        </w:tabs>
        <w:numPr>
          <w:ilvl w:val="0"/>
          <w:numId w:val="5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Collateral Agent is authorized and empowered to appoint one or more co-agents or sub-agents or attorneys-in-fact as it deems necessary or appropriate in connection herewith and shall not be liable for the negligence or misconduct of any such agents or attorneys-in-fact selected by it in good faith.</w:t>
      </w:r>
    </w:p>
    <w:p>
      <w:pPr>
        <w:spacing w:after="0" w:line="73" w:lineRule="exact"/>
        <w:rPr>
          <w:rFonts w:ascii="Arial" w:cs="Arial" w:eastAsia="Arial" w:hAnsi="Arial"/>
          <w:sz w:val="18"/>
          <w:szCs w:val="18"/>
          <w:color w:val="auto"/>
        </w:rPr>
      </w:pPr>
    </w:p>
    <w:p>
      <w:pPr>
        <w:ind w:left="-20" w:right="500" w:firstLine="921"/>
        <w:spacing w:after="0" w:line="277" w:lineRule="auto"/>
        <w:tabs>
          <w:tab w:leader="none" w:pos="114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Collateral Agent shall be accountable only for amounts that it actually receives as a result of the enforcement of this Indenture, the Collateral Documents relating to the Notes or the Liens created by the Collateral Documents relating to the Notes.</w:t>
      </w:r>
    </w:p>
    <w:p>
      <w:pPr>
        <w:spacing w:after="0" w:line="62" w:lineRule="exact"/>
        <w:rPr>
          <w:rFonts w:ascii="Arial" w:cs="Arial" w:eastAsia="Arial" w:hAnsi="Arial"/>
          <w:sz w:val="18"/>
          <w:szCs w:val="18"/>
          <w:color w:val="auto"/>
        </w:rPr>
      </w:pPr>
    </w:p>
    <w:p>
      <w:pPr>
        <w:ind w:left="-20" w:firstLine="921"/>
        <w:spacing w:after="0" w:line="287" w:lineRule="auto"/>
        <w:tabs>
          <w:tab w:leader="none" w:pos="1138" w:val="left"/>
        </w:tabs>
        <w:numPr>
          <w:ilvl w:val="0"/>
          <w:numId w:val="501"/>
        </w:numPr>
        <w:rPr>
          <w:rFonts w:ascii="Arial" w:cs="Arial" w:eastAsia="Arial" w:hAnsi="Arial"/>
          <w:sz w:val="16"/>
          <w:szCs w:val="16"/>
          <w:color w:val="auto"/>
        </w:rPr>
      </w:pPr>
      <w:r>
        <w:rPr>
          <w:rFonts w:ascii="Arial" w:cs="Arial" w:eastAsia="Arial" w:hAnsi="Arial"/>
          <w:sz w:val="16"/>
          <w:szCs w:val="16"/>
          <w:color w:val="auto"/>
        </w:rPr>
        <w:t>The Trustee may, from time to time, appoint another financial institution to act as Collateral Agent so long as such institution meets the requirements applicable to the Trustee as set forth in Section 7.09. Subject to the appointment and acceptance of a successor Collateral Agent as provided in this subsection, the Collateral Agent (if other than the Trustee) may resign at any time by notifying the Trustee and the Issuer. Upon any such resignation, the Trustee shall have the right to appoint a successor Collateral Agent. If no successor shall have been so appointed by the Trustee and shall have accepted such appointment within 30 days after the retiring Collateral Agent gives notice of its resignation, then the retiring Collateral Agent may, on behalf of the Holders and the Trustee, appoint a successor Collateral Agent which shall meet the eligibility requirements applicable to the Trustee as set forth in Section 7.09 and shall accept and comply in all material respects with the Collateral Documents. Upon a successor’s acceptance of its appointment as Collateral Agent hereunder, such successor shall succeed to and become vested with all the rights, powers, privileges and duties of the retiring Collateral Agent hereunder and under the Collateral Documents, and the retiring Collateral Agent shall be discharged from its duties and obligations hereunder and under the Collateral Documents. If the Trustee shall be acting at any time as the Collateral Agent, then it will be deemed to have resigned as Collateral Agent upon its replacement as Trustee pursuant to Section 7.07, and the successor Trustee shall select (or may act as) the replacement Collateral Agent.</w:t>
      </w:r>
    </w:p>
    <w:p>
      <w:pPr>
        <w:spacing w:after="0" w:line="64" w:lineRule="exact"/>
        <w:rPr>
          <w:rFonts w:ascii="Arial" w:cs="Arial" w:eastAsia="Arial" w:hAnsi="Arial"/>
          <w:sz w:val="16"/>
          <w:szCs w:val="16"/>
          <w:color w:val="auto"/>
        </w:rPr>
      </w:pPr>
    </w:p>
    <w:p>
      <w:pPr>
        <w:ind w:left="-20" w:right="160" w:firstLine="921"/>
        <w:spacing w:after="0" w:line="277" w:lineRule="auto"/>
        <w:tabs>
          <w:tab w:leader="none" w:pos="111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Collateral Agent shall have all of the rights of the Trustee under Article VII of this Indenture, including, without limitation, the rights to compensation, indemnification and resignation.</w:t>
      </w:r>
    </w:p>
    <w:p>
      <w:pPr>
        <w:spacing w:after="0" w:line="62" w:lineRule="exact"/>
        <w:rPr>
          <w:rFonts w:ascii="Arial" w:cs="Arial" w:eastAsia="Arial" w:hAnsi="Arial"/>
          <w:sz w:val="18"/>
          <w:szCs w:val="18"/>
          <w:color w:val="auto"/>
        </w:rPr>
      </w:pPr>
    </w:p>
    <w:p>
      <w:pPr>
        <w:ind w:left="-20" w:right="340" w:firstLine="921"/>
        <w:spacing w:after="0" w:line="264" w:lineRule="auto"/>
        <w:tabs>
          <w:tab w:leader="none" w:pos="114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At all times when the Trustee is not itself the Collateral Agent, the Issuer will deliver to the Trustee copies of all Collateral Documents relating to the Notes delivered to the Collateral Agent and copies of all documents delivered to the Collateral Agent pursuant to the Collateral Documents relating to the Notes.</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The Collateral</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72" w:lineRule="auto"/>
        <w:tabs>
          <w:tab w:leader="none" w:pos="1138"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The payment of the principal of and interest, and premium, if any, on the Notes when and as the same shall be due and payable, whether on an interest payment date, at maturity, by acceleration, repurchase, redemption or otherwise and whether by the Issuer pursuant to the Notes or by any Secured Guarantor pursuant to its Guarantee and the payment of all other First Lien Obligations of the Issuer and the Guarantors under this Indenture, the Notes, the Guarantees and the Collateral Documents relating to the Notes are secured by First Liens on the Collateral, subject to Permitted Liens, as provided in the Collateral Documents relating to the Notes which the Issuer and the Guarantors have entered into simultaneously with the execution of this Indenture, or in certain circumstances, subsequent to the Issue Date or the Merger Date, and will be secured as provided in the Collateral Document relating to the Notes hereafter delivered as required or permitted by this Indenture.</w:t>
      </w:r>
    </w:p>
    <w:p>
      <w:pPr>
        <w:spacing w:after="0" w:line="69" w:lineRule="exact"/>
        <w:rPr>
          <w:rFonts w:ascii="Arial" w:cs="Arial" w:eastAsia="Arial" w:hAnsi="Arial"/>
          <w:sz w:val="17"/>
          <w:szCs w:val="17"/>
          <w:color w:val="auto"/>
        </w:rPr>
      </w:pPr>
    </w:p>
    <w:p>
      <w:pPr>
        <w:jc w:val="both"/>
        <w:ind w:left="-20" w:right="260" w:firstLine="921"/>
        <w:spacing w:after="0" w:line="259" w:lineRule="auto"/>
        <w:tabs>
          <w:tab w:leader="none" w:pos="1148" w:val="left"/>
        </w:tabs>
        <w:numPr>
          <w:ilvl w:val="0"/>
          <w:numId w:val="502"/>
        </w:numPr>
        <w:rPr>
          <w:rFonts w:ascii="Arial" w:cs="Arial" w:eastAsia="Arial" w:hAnsi="Arial"/>
          <w:sz w:val="18"/>
          <w:szCs w:val="18"/>
          <w:color w:val="auto"/>
        </w:rPr>
      </w:pPr>
      <w:r>
        <w:rPr>
          <w:rFonts w:ascii="Arial" w:cs="Arial" w:eastAsia="Arial" w:hAnsi="Arial"/>
          <w:sz w:val="18"/>
          <w:szCs w:val="18"/>
          <w:color w:val="auto"/>
        </w:rPr>
        <w:t>Each Holder of Notes, by its acceptance of the Notes and the Guarantees of the Notes, will be deemed to have consented and agreed to the terms of each Collateral Document relating to the Notes, as originally in effect and as amended, supplemented or replaced from time to time in accordance with its terms or the terms of this Indenture, to have authorized and directed the Trustee and the Collateral Agent, as applicable, to enter into the Collateral Documents relating to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60" w:top="273" w:right="259" w:bottom="1440" w:gutter="0" w:footer="0" w:header="0"/>
        </w:sectPr>
      </w:pPr>
    </w:p>
    <w:bookmarkStart w:id="311" w:name="page312"/>
    <w:bookmarkEnd w:id="311"/>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which it is a party, and to have authorized and empowered the Trustee and the Collateral Agent, as applicable, and (through the Intercreditor Agreement) the Directing Agent to bind the Holders of Notes and other holders of First Lien Obligations as set forth in the Collateral Documents to which they are a party and to perform its respective obligations and exercise its respective rights and powers thereunder. Notwithstanding the foregoing, no such consent or deemed consent shall be deemed or construed to represent an amendment or waiver, in whole or in part, of any provision of this Indenture or the Notes. The foregoing will not limit the right of the Issuer to amend, waive or otherwise modify the Collateral Documents relating to the Notes in accordance with their terms.</w:t>
      </w:r>
    </w:p>
    <w:p>
      <w:pPr>
        <w:spacing w:after="0" w:line="85" w:lineRule="exact"/>
        <w:rPr>
          <w:sz w:val="20"/>
          <w:szCs w:val="20"/>
          <w:color w:val="auto"/>
        </w:rPr>
      </w:pPr>
    </w:p>
    <w:p>
      <w:pPr>
        <w:ind w:right="220" w:firstLine="921"/>
        <w:spacing w:after="0" w:line="255" w:lineRule="auto"/>
        <w:tabs>
          <w:tab w:leader="none" w:pos="1158"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Trustee and each Holder, by accepting the Notes and the Guarantees of the Notes, acknowledges that, as more fully set forth in the Collateral Documents relating to the Notes, the Collateral as now or hereafter constituted shall be held by the Collateral Agent for the benefit of all the Holders, the Collateral Agent and the Trustee, and that the Lien granted by the Collateral Documents relating to the Notes in respect of the Trustee and the Holders is subject to and qualified and limited in all respects by the Collateral Documents relating to the Notes and actions that may be taken thereunder. In the event of conflict between the Intercreditor Agreement, any of the other Collateral Documents and this Indenture, the Intercreditor Agreement shall control.</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Impairment of Security Interest</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 xml:space="preserve">Neither the Issuer nor any Secured Guarantor will take or omit to take any action which would materially adversely affect or impair the Liens in favor of the Collateral Agent and the Holders with respect to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be deemed to prohibit any action or inaction that is otherwise permitted by this Indenture or required by law.</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After-Acquired Collateral</w:t>
      </w:r>
      <w:r>
        <w:rPr>
          <w:rFonts w:ascii="Arial" w:cs="Arial" w:eastAsia="Arial" w:hAnsi="Arial"/>
          <w:sz w:val="18"/>
          <w:szCs w:val="18"/>
          <w:color w:val="auto"/>
        </w:rPr>
        <w:t>. If:</w:t>
      </w:r>
    </w:p>
    <w:p>
      <w:pPr>
        <w:spacing w:after="0" w:line="117" w:lineRule="exact"/>
        <w:rPr>
          <w:sz w:val="20"/>
          <w:szCs w:val="20"/>
          <w:color w:val="auto"/>
        </w:rPr>
      </w:pPr>
    </w:p>
    <w:p>
      <w:pPr>
        <w:ind w:right="20" w:firstLine="921"/>
        <w:spacing w:after="0" w:line="277" w:lineRule="auto"/>
        <w:tabs>
          <w:tab w:leader="none" w:pos="1158" w:val="left"/>
        </w:tabs>
        <w:numPr>
          <w:ilvl w:val="0"/>
          <w:numId w:val="504"/>
        </w:numPr>
        <w:rPr>
          <w:rFonts w:ascii="Arial" w:cs="Arial" w:eastAsia="Arial" w:hAnsi="Arial"/>
          <w:sz w:val="18"/>
          <w:szCs w:val="18"/>
          <w:color w:val="auto"/>
        </w:rPr>
      </w:pPr>
      <w:r>
        <w:rPr>
          <w:rFonts w:ascii="Arial" w:cs="Arial" w:eastAsia="Arial" w:hAnsi="Arial"/>
          <w:sz w:val="18"/>
          <w:szCs w:val="18"/>
          <w:color w:val="auto"/>
        </w:rPr>
        <w:t>property (other than Excluded Assets) is acquired by the Issuer or a Secured Guarantor that is intended to be subject to the Lien created by the Collateral Documents relating to the Notes but is not so subject;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an Excluded Asset ceases to be an Excluded Asset;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 Subsidiary of the Company becomes a Secured Guarantor; or</w:t>
      </w:r>
    </w:p>
    <w:p>
      <w:pPr>
        <w:spacing w:after="0" w:line="117" w:lineRule="exact"/>
        <w:rPr>
          <w:rFonts w:ascii="Arial" w:cs="Arial" w:eastAsia="Arial" w:hAnsi="Arial"/>
          <w:sz w:val="18"/>
          <w:szCs w:val="18"/>
          <w:color w:val="auto"/>
        </w:rPr>
      </w:pPr>
    </w:p>
    <w:p>
      <w:pPr>
        <w:ind w:firstLine="921"/>
        <w:spacing w:after="0" w:line="286" w:lineRule="auto"/>
        <w:tabs>
          <w:tab w:leader="none" w:pos="1168" w:val="left"/>
        </w:tabs>
        <w:numPr>
          <w:ilvl w:val="0"/>
          <w:numId w:val="504"/>
        </w:numPr>
        <w:rPr>
          <w:rFonts w:ascii="Arial" w:cs="Arial" w:eastAsia="Arial" w:hAnsi="Arial"/>
          <w:sz w:val="16"/>
          <w:szCs w:val="16"/>
          <w:color w:val="auto"/>
        </w:rPr>
      </w:pPr>
      <w:r>
        <w:rPr>
          <w:rFonts w:ascii="Arial" w:cs="Arial" w:eastAsia="Arial" w:hAnsi="Arial"/>
          <w:sz w:val="16"/>
          <w:szCs w:val="16"/>
          <w:color w:val="auto"/>
        </w:rPr>
        <w:t xml:space="preserve">any property of the Issuer or any Secured Guarantor becomes subject to a Lien with respect to any First Lien Obligations (or the Guarantees thereof) and is not already subject to the Lien created by the Collateral Documents relating to the Notes, then the Issuer or such Secured Guarantor will, as soon as practical after such property’s acquisition or such property no longer being an Excluded Asset or such Subsidiary becoming a Secured Guarantor or such property becoming subject to a Lien securing any First Lien Obligation (or the Guarantees thereof), as applicable, provide security over such property (or, in the case of a new Secured Guarantor, all of its assets that are not Excluded Assets) in favor of the Collateral Agent on a basis that would create a Lien on such terms, in each case, consistent with the Collateral Documents in effect at such time, and take such additional actions as are reasonable and appropriate or advisable to create and fully perfect in favor of the Secured Parties under the Collateral Documents relating to the Notes a valid and enforceable security interest in such Collateral (to the extent such perfection is required under the Collateral Documents), which shall be free of all other Liens except for Permitted Liens;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regard to Material Real Property, the Issuer and any Guarantor shall have 90 days (or such longer period as the Trustee may agree in its sole discretion) from the date of acquisition to execute and deliver the items described under Section 11.05 with respect to such real property and with respect to the pledge of equity interests in a Foreign Subsidiary, the Issuer and any Guarantor shall have 90 days or such longer period as the Trustee may agree in its sole discretion from the date of acquisition to provide, execute and deliver the items described in Section 11.05(b). Any security interest provided pursuant to this Section 11.04 (other than with respect to assets specified in (a) and (b) above that 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312" w:name="page313"/>
    <w:bookmarkEnd w:id="31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automatically subject to a perfected security interest under the Collateral Documents relating to the Notes) shall be accompanied by such Opinions of Counsel to the Issuer or the Subsidiary Guarantors addressed to the Trustee and the Collateral Agent as are reasonably requested by the Trustee or the Collateral Agent and customarily given by such counsel in the relevant jurisdiction, in form and substance customary for such jurisdiction. In addition, if perfection is required by the Collateral Documents relating to the Notes (other than with respect to assets specified in (a) and (b) above that are automatically subject to a perfected security interest under the Collateral Documents related to the Notes), the Issuer shall deliver an Officer’s Certificate to the Trustee and the Collateral Agent upon reasonable request by the Trustee or the Collateral Agent, certifying that the necessary measures have been taken to perfect the security interest in such property.</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Real Estate Mortgages and Filing; Pledge of Foreign Collateral</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302" w:lineRule="auto"/>
        <w:tabs>
          <w:tab w:leader="none" w:pos="1158" w:val="left"/>
        </w:tabs>
        <w:numPr>
          <w:ilvl w:val="1"/>
          <w:numId w:val="505"/>
        </w:numPr>
        <w:rPr>
          <w:rFonts w:ascii="Arial" w:cs="Arial" w:eastAsia="Arial" w:hAnsi="Arial"/>
          <w:sz w:val="16"/>
          <w:szCs w:val="16"/>
          <w:color w:val="auto"/>
        </w:rPr>
      </w:pPr>
      <w:r>
        <w:rPr>
          <w:rFonts w:ascii="Arial" w:cs="Arial" w:eastAsia="Arial" w:hAnsi="Arial"/>
          <w:sz w:val="16"/>
          <w:szCs w:val="16"/>
          <w:color w:val="auto"/>
        </w:rPr>
        <w:t>With respect to Material Real Property that secures (or will secure) the Notes or the Guarantees, the Issuer or the Secured Guarantor must provide the Trustee with filed Mortgages with respect to such owned real property within 90 days (or such longer period as the Trustee may agree in its sole discretion) of the Issue Date or 90 days (or such longer period as the Trustee may agree in its sole discretion) of the acquisition of, or, if requested by the Trustee, entry into, or renewal of, a ground lease in respect of, such real property, as the case may be, in each case together with:</w:t>
      </w:r>
    </w:p>
    <w:p>
      <w:pPr>
        <w:spacing w:after="0" w:line="46" w:lineRule="exact"/>
        <w:rPr>
          <w:rFonts w:ascii="Arial" w:cs="Arial" w:eastAsia="Arial" w:hAnsi="Arial"/>
          <w:sz w:val="16"/>
          <w:szCs w:val="16"/>
          <w:color w:val="auto"/>
        </w:rPr>
      </w:pPr>
    </w:p>
    <w:p>
      <w:pPr>
        <w:ind w:left="460" w:right="140" w:firstLine="443"/>
        <w:spacing w:after="0" w:line="255" w:lineRule="auto"/>
        <w:tabs>
          <w:tab w:leader="none" w:pos="1113"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evidence that counterparts of the Mortgages have been duly executed, acknowledged and delivered and are in form suitable for filing or recording in all filing or recording offices that the Trustee may deem reasonably necessary or desirable in order to create a valid and subsisting perfected Lien on the property and/or rights described therein in favor of the Trustee for the benefit of the Holders,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the Liens securing the Senior Credit Agreement Obligations, the Existing Secured Notes and the other First Lien Obligations as among the holders thereof in accordance with the Intercreditor Agreement, and that all filing and recording taxes and fees have been paid or otherwise provided for in a manner reasonably satisfactory to the Trustee;</w:t>
      </w:r>
    </w:p>
    <w:p>
      <w:pPr>
        <w:spacing w:after="0" w:line="85" w:lineRule="exact"/>
        <w:rPr>
          <w:rFonts w:ascii="Arial" w:cs="Arial" w:eastAsia="Arial" w:hAnsi="Arial"/>
          <w:sz w:val="18"/>
          <w:szCs w:val="18"/>
          <w:color w:val="auto"/>
        </w:rPr>
      </w:pPr>
    </w:p>
    <w:p>
      <w:pPr>
        <w:ind w:left="460" w:right="40" w:firstLine="443"/>
        <w:spacing w:after="0" w:line="297" w:lineRule="auto"/>
        <w:tabs>
          <w:tab w:leader="none" w:pos="1163" w:val="left"/>
        </w:tabs>
        <w:numPr>
          <w:ilvl w:val="0"/>
          <w:numId w:val="506"/>
        </w:numPr>
        <w:rPr>
          <w:rFonts w:ascii="Arial" w:cs="Arial" w:eastAsia="Arial" w:hAnsi="Arial"/>
          <w:sz w:val="16"/>
          <w:szCs w:val="16"/>
          <w:color w:val="auto"/>
        </w:rPr>
      </w:pPr>
      <w:r>
        <w:rPr>
          <w:rFonts w:ascii="Arial" w:cs="Arial" w:eastAsia="Arial" w:hAnsi="Arial"/>
          <w:sz w:val="16"/>
          <w:szCs w:val="16"/>
          <w:color w:val="auto"/>
        </w:rPr>
        <w:t>fully paid American Land Title Association Lender’s Extended Coverage title insurance policies or the equivalent or other form available in each applicable jurisdiction in form and substance, with endorsements and in amount, reasonably acceptable to the Trustee (not to exceed the value of the real properties covered thereby), issued, coinsured and reinsured by title insurers reasonably acceptable to the Trustee, insuring the Mortgages to be valid subsisting Liens on the property described therein, free and clear of all defects and encumbrances, subject to Permitted Liens, and providing for such other affirmative insurance and such coinsurance and direct access reinsurance as the Trustee may reasonably request;</w:t>
      </w:r>
    </w:p>
    <w:p>
      <w:pPr>
        <w:spacing w:after="0" w:line="50" w:lineRule="exact"/>
        <w:rPr>
          <w:rFonts w:ascii="Arial" w:cs="Arial" w:eastAsia="Arial" w:hAnsi="Arial"/>
          <w:sz w:val="16"/>
          <w:szCs w:val="16"/>
          <w:color w:val="auto"/>
        </w:rPr>
      </w:pPr>
    </w:p>
    <w:p>
      <w:pPr>
        <w:ind w:left="1220" w:hanging="317"/>
        <w:spacing w:after="0"/>
        <w:tabs>
          <w:tab w:leader="none" w:pos="122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surveys with respect to such owned real property;</w:t>
      </w:r>
    </w:p>
    <w:p>
      <w:pPr>
        <w:spacing w:after="0" w:line="117" w:lineRule="exact"/>
        <w:rPr>
          <w:rFonts w:ascii="Arial" w:cs="Arial" w:eastAsia="Arial" w:hAnsi="Arial"/>
          <w:sz w:val="18"/>
          <w:szCs w:val="18"/>
          <w:color w:val="auto"/>
        </w:rPr>
      </w:pPr>
    </w:p>
    <w:p>
      <w:pPr>
        <w:ind w:left="460" w:right="460" w:firstLine="443"/>
        <w:spacing w:after="0" w:line="342" w:lineRule="auto"/>
        <w:tabs>
          <w:tab w:leader="none" w:pos="1203" w:val="left"/>
        </w:tabs>
        <w:numPr>
          <w:ilvl w:val="0"/>
          <w:numId w:val="506"/>
        </w:numPr>
        <w:rPr>
          <w:rFonts w:ascii="Arial" w:cs="Arial" w:eastAsia="Arial" w:hAnsi="Arial"/>
          <w:sz w:val="16"/>
          <w:szCs w:val="16"/>
          <w:color w:val="auto"/>
        </w:rPr>
      </w:pPr>
      <w:r>
        <w:rPr>
          <w:rFonts w:ascii="Arial" w:cs="Arial" w:eastAsia="Arial" w:hAnsi="Arial"/>
          <w:sz w:val="16"/>
          <w:szCs w:val="16"/>
          <w:color w:val="auto"/>
        </w:rPr>
        <w:t>opinions of local counsel for the Issuer and the Secured Guarantors in states in which the real properties are located, with respect to the enforceability and perfection of the Mortgages and any related fixture filings in form and substance reasonably satisfactory to the Trustee; and</w:t>
      </w:r>
    </w:p>
    <w:p>
      <w:pPr>
        <w:spacing w:after="0" w:line="15" w:lineRule="exact"/>
        <w:rPr>
          <w:rFonts w:ascii="Arial" w:cs="Arial" w:eastAsia="Arial" w:hAnsi="Arial"/>
          <w:sz w:val="16"/>
          <w:szCs w:val="16"/>
          <w:color w:val="auto"/>
        </w:rPr>
      </w:pPr>
    </w:p>
    <w:p>
      <w:pPr>
        <w:ind w:left="460" w:right="160" w:firstLine="443"/>
        <w:spacing w:after="0" w:line="277" w:lineRule="auto"/>
        <w:tabs>
          <w:tab w:leader="none" w:pos="1153"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such other evidence that all other actions that the Trustee may reasonably deem necessary or desirable in order to create valid and subsisting Liens on the property described in the Mortgages has been taken.</w:t>
      </w:r>
    </w:p>
    <w:p>
      <w:pPr>
        <w:spacing w:after="0" w:line="62" w:lineRule="exact"/>
        <w:rPr>
          <w:rFonts w:ascii="Arial" w:cs="Arial" w:eastAsia="Arial" w:hAnsi="Arial"/>
          <w:sz w:val="18"/>
          <w:szCs w:val="18"/>
          <w:color w:val="auto"/>
        </w:rPr>
      </w:pPr>
    </w:p>
    <w:p>
      <w:pPr>
        <w:ind w:right="20" w:firstLine="921"/>
        <w:spacing w:after="0" w:line="259" w:lineRule="auto"/>
        <w:tabs>
          <w:tab w:leader="none" w:pos="1168" w:val="left"/>
        </w:tabs>
        <w:numPr>
          <w:ilvl w:val="1"/>
          <w:numId w:val="506"/>
        </w:numPr>
        <w:rPr>
          <w:rFonts w:ascii="Arial" w:cs="Arial" w:eastAsia="Arial" w:hAnsi="Arial"/>
          <w:sz w:val="18"/>
          <w:szCs w:val="18"/>
          <w:color w:val="auto"/>
        </w:rPr>
      </w:pPr>
      <w:r>
        <w:rPr>
          <w:rFonts w:ascii="Arial" w:cs="Arial" w:eastAsia="Arial" w:hAnsi="Arial"/>
          <w:sz w:val="18"/>
          <w:szCs w:val="18"/>
          <w:color w:val="auto"/>
        </w:rPr>
        <w:t>With respect to the equity interests of wholly owned Material Foreign Subsidiaries of the Company and Specified Foreign Subsidiaries that secure (or will secure) the Notes or the Guarantees, the Issuer or the Secured Guarantor must provide the Trustee within 90 days (or such longer period as the Trustee may agree in its sole discretion) of the Issue Date or 90 days (or such longer period as the Trustee may agree in its sole discretion) upon the formation or acquisition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73" w:right="259" w:bottom="1440" w:gutter="0" w:footer="0" w:header="0"/>
        </w:sectPr>
      </w:pPr>
    </w:p>
    <w:bookmarkStart w:id="313" w:name="page314"/>
    <w:bookmarkEnd w:id="313"/>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wholly owned Material Foreign Subsidiary of the Company or Specified Foreign Subsidiaries: (a) counterparts of each pledge agreement to be entered into in connection with the pledge of the equity interests of each such wholly owned Material Foreign Subsidiary of the Company or such Specified Foreign Subsidiary, and all other documents and instruments required by law or reasonably requested by the Trustee to be filed, registered or recorded to create the Liens in such equity interests and to perfect such Liens to the extent required by, this Indenture and the Collateral Documents relating to the Notes; and (b) a signed copy of an opinion, addressed to the Trustee, of counsel for the Issuer and the Secured Guarantors as reasonably acceptable to the Trustee as to such matters set forth in clause (a), as the Trustee may reasonably request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Release of Collateral</w:t>
      </w:r>
      <w:r>
        <w:rPr>
          <w:rFonts w:ascii="Arial" w:cs="Arial" w:eastAsia="Arial" w:hAnsi="Arial"/>
          <w:sz w:val="18"/>
          <w:szCs w:val="18"/>
          <w:color w:val="auto"/>
        </w:rPr>
        <w:t>.</w:t>
      </w:r>
    </w:p>
    <w:p>
      <w:pPr>
        <w:spacing w:after="0" w:line="117" w:lineRule="exact"/>
        <w:rPr>
          <w:sz w:val="20"/>
          <w:szCs w:val="20"/>
          <w:color w:val="auto"/>
        </w:rPr>
      </w:pPr>
    </w:p>
    <w:p>
      <w:pPr>
        <w:ind w:right="540" w:firstLine="921"/>
        <w:spacing w:after="0" w:line="277" w:lineRule="auto"/>
        <w:tabs>
          <w:tab w:leader="none" w:pos="1158" w:val="left"/>
        </w:tabs>
        <w:numPr>
          <w:ilvl w:val="0"/>
          <w:numId w:val="507"/>
        </w:numPr>
        <w:rPr>
          <w:rFonts w:ascii="Arial" w:cs="Arial" w:eastAsia="Arial" w:hAnsi="Arial"/>
          <w:sz w:val="18"/>
          <w:szCs w:val="18"/>
          <w:color w:val="auto"/>
        </w:rPr>
      </w:pPr>
      <w:r>
        <w:rPr>
          <w:rFonts w:ascii="Arial" w:cs="Arial" w:eastAsia="Arial" w:hAnsi="Arial"/>
          <w:sz w:val="18"/>
          <w:szCs w:val="18"/>
          <w:color w:val="auto"/>
        </w:rPr>
        <w:t>Liens on the Collateral will be automatically released without requirement for consent or approval from the Holders, the Trustee or the Collateral Agent:</w:t>
      </w:r>
    </w:p>
    <w:p>
      <w:pPr>
        <w:spacing w:after="0" w:line="62" w:lineRule="exact"/>
        <w:rPr>
          <w:rFonts w:ascii="Arial" w:cs="Arial" w:eastAsia="Arial" w:hAnsi="Arial"/>
          <w:sz w:val="18"/>
          <w:szCs w:val="18"/>
          <w:color w:val="auto"/>
        </w:rPr>
      </w:pPr>
    </w:p>
    <w:p>
      <w:pPr>
        <w:ind w:left="920" w:right="40" w:firstLine="421"/>
        <w:spacing w:after="0" w:line="277" w:lineRule="auto"/>
        <w:tabs>
          <w:tab w:leader="none" w:pos="1555" w:val="left"/>
        </w:tabs>
        <w:numPr>
          <w:ilvl w:val="1"/>
          <w:numId w:val="507"/>
        </w:numPr>
        <w:rPr>
          <w:rFonts w:ascii="Arial" w:cs="Arial" w:eastAsia="Arial" w:hAnsi="Arial"/>
          <w:sz w:val="18"/>
          <w:szCs w:val="18"/>
          <w:color w:val="auto"/>
        </w:rPr>
      </w:pPr>
      <w:r>
        <w:rPr>
          <w:rFonts w:ascii="Arial" w:cs="Arial" w:eastAsia="Arial" w:hAnsi="Arial"/>
          <w:sz w:val="18"/>
          <w:szCs w:val="18"/>
          <w:color w:val="auto"/>
        </w:rPr>
        <w:t>with respect to any Collateral securing the Guarantee of the Notes of any Secured Guarantor, when such Secured Guarantor’s Guarantee is released in accordance with the terms of this Indenture;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upon payment in full of principal, interest and all other obligations on the Notes issued under this Indenture;</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as provided in Section 9.02;</w:t>
      </w:r>
    </w:p>
    <w:p>
      <w:pPr>
        <w:spacing w:after="0" w:line="117" w:lineRule="exact"/>
        <w:rPr>
          <w:rFonts w:ascii="Arial" w:cs="Arial" w:eastAsia="Arial" w:hAnsi="Arial"/>
          <w:sz w:val="18"/>
          <w:szCs w:val="18"/>
          <w:color w:val="auto"/>
        </w:rPr>
      </w:pPr>
    </w:p>
    <w:p>
      <w:pPr>
        <w:ind w:left="920" w:firstLine="421"/>
        <w:spacing w:after="0" w:line="277" w:lineRule="auto"/>
        <w:tabs>
          <w:tab w:leader="none" w:pos="1645" w:val="left"/>
        </w:tabs>
        <w:numPr>
          <w:ilvl w:val="1"/>
          <w:numId w:val="507"/>
        </w:numPr>
        <w:rPr>
          <w:rFonts w:ascii="Arial" w:cs="Arial" w:eastAsia="Arial" w:hAnsi="Arial"/>
          <w:sz w:val="18"/>
          <w:szCs w:val="18"/>
          <w:color w:val="auto"/>
        </w:rPr>
      </w:pPr>
      <w:r>
        <w:rPr>
          <w:rFonts w:ascii="Arial" w:cs="Arial" w:eastAsia="Arial" w:hAnsi="Arial"/>
          <w:sz w:val="18"/>
          <w:szCs w:val="18"/>
          <w:color w:val="auto"/>
        </w:rPr>
        <w:t>in connection with any disposition of Collateral (but excluding any transaction subject to Section 5.01 where the recipient is required to become the obligor on the Notes or a Secured Guarantor) that is permitted by this Indenture;</w:t>
      </w:r>
    </w:p>
    <w:p>
      <w:pPr>
        <w:spacing w:after="0" w:line="62" w:lineRule="exact"/>
        <w:rPr>
          <w:rFonts w:ascii="Arial" w:cs="Arial" w:eastAsia="Arial" w:hAnsi="Arial"/>
          <w:sz w:val="18"/>
          <w:szCs w:val="18"/>
          <w:color w:val="auto"/>
        </w:rPr>
      </w:pPr>
    </w:p>
    <w:p>
      <w:pPr>
        <w:ind w:left="920" w:right="140" w:firstLine="421"/>
        <w:spacing w:after="0" w:line="255" w:lineRule="auto"/>
        <w:tabs>
          <w:tab w:leader="none" w:pos="1595" w:val="left"/>
        </w:tabs>
        <w:numPr>
          <w:ilvl w:val="1"/>
          <w:numId w:val="507"/>
        </w:numPr>
        <w:rPr>
          <w:rFonts w:ascii="Arial" w:cs="Arial" w:eastAsia="Arial" w:hAnsi="Arial"/>
          <w:sz w:val="18"/>
          <w:szCs w:val="18"/>
          <w:color w:val="auto"/>
        </w:rPr>
      </w:pPr>
      <w:r>
        <w:rPr>
          <w:rFonts w:ascii="Arial" w:cs="Arial" w:eastAsia="Arial" w:hAnsi="Arial"/>
          <w:sz w:val="18"/>
          <w:szCs w:val="18"/>
          <w:color w:val="auto"/>
        </w:rPr>
        <w:t xml:space="preserve">with respect to any particular item of Collateral, if there are outstanding Obligations under the Revolving Credit Facility and/or the Term Loan Facilities (as applicable), upon release by Collateral Agent of the Liens on such item of Collateral securing the Senior Credit Agreement Obligations and the concurrent release of the Liens on such item of Collateral securing any other First Lien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there is then outstanding under the Revolving Credit Facility and/or the Term Loan Facilities (as applicable) aggregate debt and debt commitments in an amount that exceeds the aggregate principal amount of the then outstanding Notes;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Collateral Agent may not release all or substantially all of the Collateral without the consent of the Trustee on behalf of the Holders of the Notes;</w:t>
      </w:r>
    </w:p>
    <w:p>
      <w:pPr>
        <w:spacing w:after="0" w:line="81" w:lineRule="exact"/>
        <w:rPr>
          <w:rFonts w:ascii="Arial" w:cs="Arial" w:eastAsia="Arial" w:hAnsi="Arial"/>
          <w:sz w:val="18"/>
          <w:szCs w:val="18"/>
          <w:color w:val="auto"/>
        </w:rPr>
      </w:pPr>
    </w:p>
    <w:p>
      <w:pPr>
        <w:ind w:left="920" w:right="40" w:firstLine="421"/>
        <w:spacing w:after="0" w:line="257" w:lineRule="auto"/>
        <w:tabs>
          <w:tab w:leader="none" w:pos="1645" w:val="left"/>
        </w:tabs>
        <w:numPr>
          <w:ilvl w:val="1"/>
          <w:numId w:val="507"/>
        </w:numPr>
        <w:rPr>
          <w:rFonts w:ascii="Arial" w:cs="Arial" w:eastAsia="Arial" w:hAnsi="Arial"/>
          <w:sz w:val="18"/>
          <w:szCs w:val="18"/>
          <w:color w:val="auto"/>
        </w:rPr>
      </w:pPr>
      <w:r>
        <w:rPr>
          <w:rFonts w:ascii="Arial" w:cs="Arial" w:eastAsia="Arial" w:hAnsi="Arial"/>
          <w:sz w:val="18"/>
          <w:szCs w:val="18"/>
          <w:color w:val="auto"/>
        </w:rPr>
        <w:t xml:space="preserve">with respect to any particular item of Collateral, if there are no outstanding Obligations under the Senior Credit Facilities, upon release by the collateral agent for the largest class of outstanding First Lien Obligations at such time of the Liens on such item of Collateral securing such First Lien Obligations and the concurrent release of the Liens on such item of Collateral securing any other First Lien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Applicable Authorized Representative may not release all or substantially all of the Collateral without the consent of the Trustee on behalf of the Holders of the Notes;</w:t>
      </w:r>
    </w:p>
    <w:p>
      <w:pPr>
        <w:spacing w:after="0" w:line="80" w:lineRule="exact"/>
        <w:rPr>
          <w:rFonts w:ascii="Arial" w:cs="Arial" w:eastAsia="Arial" w:hAnsi="Arial"/>
          <w:sz w:val="18"/>
          <w:szCs w:val="18"/>
          <w:color w:val="auto"/>
        </w:rPr>
      </w:pPr>
    </w:p>
    <w:p>
      <w:pPr>
        <w:ind w:left="1700" w:hanging="359"/>
        <w:spacing w:after="0"/>
        <w:tabs>
          <w:tab w:leader="none" w:pos="170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if such property or other assets is or becomes Excluded Assets; or</w:t>
      </w:r>
    </w:p>
    <w:p>
      <w:pPr>
        <w:spacing w:after="0" w:line="117" w:lineRule="exact"/>
        <w:rPr>
          <w:rFonts w:ascii="Arial" w:cs="Arial" w:eastAsia="Arial" w:hAnsi="Arial"/>
          <w:sz w:val="18"/>
          <w:szCs w:val="18"/>
          <w:color w:val="auto"/>
        </w:rPr>
      </w:pPr>
    </w:p>
    <w:p>
      <w:pPr>
        <w:ind w:left="920" w:right="160" w:firstLine="421"/>
        <w:spacing w:after="0" w:line="277" w:lineRule="auto"/>
        <w:tabs>
          <w:tab w:leader="none" w:pos="1745" w:val="left"/>
        </w:tabs>
        <w:numPr>
          <w:ilvl w:val="1"/>
          <w:numId w:val="507"/>
        </w:numPr>
        <w:rPr>
          <w:rFonts w:ascii="Arial" w:cs="Arial" w:eastAsia="Arial" w:hAnsi="Arial"/>
          <w:sz w:val="18"/>
          <w:szCs w:val="18"/>
          <w:color w:val="auto"/>
        </w:rPr>
      </w:pPr>
      <w:r>
        <w:rPr>
          <w:rFonts w:ascii="Arial" w:cs="Arial" w:eastAsia="Arial" w:hAnsi="Arial"/>
          <w:sz w:val="18"/>
          <w:szCs w:val="18"/>
          <w:color w:val="auto"/>
        </w:rPr>
        <w:t>upon the exercise by the Issuer of its legal defeasance or covenant defeasance options under Sections 8.02 and 8.03, respectively, or the satisfaction and discharge of the Issuer’s obligations under Section 12.01.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274" w:right="259" w:bottom="1440" w:gutter="0" w:footer="0" w:header="0"/>
        </w:sectPr>
      </w:pPr>
    </w:p>
    <w:bookmarkStart w:id="314" w:name="page315"/>
    <w:bookmarkEnd w:id="314"/>
    <w:p>
      <w:pPr>
        <w:ind w:right="20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subject to certain limitations set forth in the Collateral Documents, all Collateral used, sold, transferred or otherwise disposed of in accordance with the terms of the applicable First Lien Debt Documents, including any waiver or amendment of these documents, will automatically be released from the Lien securing the Notes or the Guarantees of the Notes so that the use, sale, transfer or other disposition may be made free of such Lien.</w:t>
      </w:r>
    </w:p>
    <w:p>
      <w:pPr>
        <w:spacing w:after="0" w:line="39" w:lineRule="exact"/>
        <w:rPr>
          <w:sz w:val="20"/>
          <w:szCs w:val="20"/>
          <w:color w:val="auto"/>
        </w:rPr>
      </w:pPr>
    </w:p>
    <w:p>
      <w:pPr>
        <w:ind w:right="100" w:firstLine="921"/>
        <w:spacing w:after="0" w:line="286" w:lineRule="auto"/>
        <w:tabs>
          <w:tab w:leader="none" w:pos="1168" w:val="left"/>
        </w:tabs>
        <w:numPr>
          <w:ilvl w:val="0"/>
          <w:numId w:val="508"/>
        </w:numPr>
        <w:rPr>
          <w:rFonts w:ascii="Arial" w:cs="Arial" w:eastAsia="Arial" w:hAnsi="Arial"/>
          <w:sz w:val="17"/>
          <w:szCs w:val="17"/>
          <w:color w:val="auto"/>
        </w:rPr>
      </w:pPr>
      <w:r>
        <w:rPr>
          <w:rFonts w:ascii="Arial" w:cs="Arial" w:eastAsia="Arial" w:hAnsi="Arial"/>
          <w:sz w:val="17"/>
          <w:szCs w:val="17"/>
          <w:color w:val="auto"/>
        </w:rPr>
        <w:t>At the request of the Issuer, the Trustee shall execute and deliver any documents, instructions or instruments evidencing the consent of the Holders of the Notes to any permitted release. The Trustee and the Collateral Agent shall take such action under this Indenture and the Collateral Documents relating to the Notes or otherwise as may be reasonably requested by the Issuer to give effect to or evidence any such release.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Authorization of Actions to be Taken by the Trustee or the Collateral Agent under the Collateral Documents relating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03" w:lineRule="exact"/>
        <w:rPr>
          <w:sz w:val="20"/>
          <w:szCs w:val="20"/>
          <w:color w:val="auto"/>
        </w:rPr>
      </w:pPr>
    </w:p>
    <w:p>
      <w:pPr>
        <w:ind w:firstLine="921"/>
        <w:spacing w:after="0" w:line="270" w:lineRule="auto"/>
        <w:tabs>
          <w:tab w:leader="none" w:pos="1158" w:val="left"/>
        </w:tabs>
        <w:numPr>
          <w:ilvl w:val="0"/>
          <w:numId w:val="509"/>
        </w:numPr>
        <w:rPr>
          <w:rFonts w:ascii="Arial" w:cs="Arial" w:eastAsia="Arial" w:hAnsi="Arial"/>
          <w:sz w:val="17"/>
          <w:szCs w:val="17"/>
          <w:color w:val="auto"/>
        </w:rPr>
      </w:pPr>
      <w:r>
        <w:rPr>
          <w:rFonts w:ascii="Arial" w:cs="Arial" w:eastAsia="Arial" w:hAnsi="Arial"/>
          <w:sz w:val="17"/>
          <w:szCs w:val="17"/>
          <w:color w:val="auto"/>
        </w:rPr>
        <w:t>Subject to the provisions of the Collateral Documents relating to the Notes and unless otherwise expressly provided herein or therein, the Trustee may, at the written direction of a majority of the Holders, direct the Collateral Agent to take all actions necessary or appropriate in order to (i) enforce any of the terms of the Collateral Documents relating to the Notes and (ii) collect and receive any and all amounts payable in respect of the Collateral in respect of the obligations of the Issuer and the Secured Guarantors hereunder and thereunder. Subject to the provisions of the Collateral Documents relating to the Notes, the Collateral Agent shall have the power to institute and to maintain such suits and proceedings in order to prevent any impairment of the Collateral by any acts that may be unlawful or in violation of the Collateral Documents relating to the Notes or this Indenture, and such suits and proceedings as are necessary to preserve or protect its interest and the interests of the Holders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granted pursuant to any Collateral Document relating to the Notes or be prejudicial to the interests of the Holders or the Trustee).</w:t>
      </w:r>
    </w:p>
    <w:p>
      <w:pPr>
        <w:spacing w:after="0" w:line="69" w:lineRule="exact"/>
        <w:rPr>
          <w:rFonts w:ascii="Arial" w:cs="Arial" w:eastAsia="Arial" w:hAnsi="Arial"/>
          <w:sz w:val="17"/>
          <w:szCs w:val="17"/>
          <w:color w:val="auto"/>
        </w:rPr>
      </w:pPr>
    </w:p>
    <w:p>
      <w:pPr>
        <w:ind w:right="20" w:firstLine="921"/>
        <w:spacing w:after="0" w:line="270" w:lineRule="auto"/>
        <w:tabs>
          <w:tab w:leader="none" w:pos="1168"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The Trustee or the Collateral Agent shall not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except to the extent such action or omission constitutes negligence (or gross negligence in the case of the Collateral Agent) or willful misconduct on the part of the Trustee or the Collateral Agent, for the validity or sufficiency of the Collateral or any agreement or assignment contained therein, for the validity of the title of the Issuer to the Collateral, for insuring the Collateral or for the payment of taxes, charges, assessments or Liens upon the Collateral or otherwise as to the maintenance of the Collateral. Notwithstanding the foregoing, neither the Trustee nor the Collateral Agent shall have responsibility for recording, filing, re-recording or refiling any financing statement, continuation statement, document, instrument or other notice in any public office at any time or times or to otherwise take any action to perfect or maintain the perfection of any security interest granted to it under the Collateral Documents relating to the Notes or otherwise.</w:t>
      </w:r>
    </w:p>
    <w:p>
      <w:pPr>
        <w:spacing w:after="0" w:line="73" w:lineRule="exact"/>
        <w:rPr>
          <w:rFonts w:ascii="Arial" w:cs="Arial" w:eastAsia="Arial" w:hAnsi="Arial"/>
          <w:sz w:val="17"/>
          <w:szCs w:val="17"/>
          <w:color w:val="auto"/>
        </w:rPr>
      </w:pPr>
    </w:p>
    <w:p>
      <w:pPr>
        <w:ind w:right="20" w:firstLine="921"/>
        <w:spacing w:after="0" w:line="257" w:lineRule="auto"/>
        <w:tabs>
          <w:tab w:leader="none" w:pos="1158" w:val="left"/>
        </w:tabs>
        <w:numPr>
          <w:ilvl w:val="0"/>
          <w:numId w:val="509"/>
        </w:numPr>
        <w:rPr>
          <w:rFonts w:ascii="Arial" w:cs="Arial" w:eastAsia="Arial" w:hAnsi="Arial"/>
          <w:sz w:val="18"/>
          <w:szCs w:val="18"/>
          <w:color w:val="auto"/>
        </w:rPr>
      </w:pPr>
      <w:r>
        <w:rPr>
          <w:rFonts w:ascii="Arial" w:cs="Arial" w:eastAsia="Arial" w:hAnsi="Arial"/>
          <w:sz w:val="18"/>
          <w:szCs w:val="18"/>
          <w:color w:val="auto"/>
        </w:rPr>
        <w:t>Where any provision of the Collateral Documents relating to the Notes requires that additional property or assets be provided as Collateral, the Issuer shall, or shall cause the applicable Secured Guarantors to, take any and all actions reasonably required to cause such additional property or assets to be provided as Collateral and to create and perfect a valid and enforceable first-priority security interest in such property or assets (subject to Permitted Liens and other exceptions in the Collateral Documents relating to the Notes) in favor of the Collateral Agent for the benefit of the Holders in accordance with and to the extent required under the Collateral Documents relating to the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3" w:right="259" w:bottom="1440" w:gutter="0" w:footer="0" w:header="0"/>
        </w:sectPr>
      </w:pPr>
    </w:p>
    <w:bookmarkStart w:id="315" w:name="page316"/>
    <w:bookmarkEnd w:id="315"/>
    <w:p>
      <w:pPr>
        <w:jc w:val="both"/>
        <w:ind w:right="340" w:firstLine="921"/>
        <w:spacing w:after="0" w:line="259" w:lineRule="auto"/>
        <w:tabs>
          <w:tab w:leader="none" w:pos="1168" w:val="left"/>
        </w:tabs>
        <w:numPr>
          <w:ilvl w:val="0"/>
          <w:numId w:val="5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in giving any consent or approval under this Indenture or the Collateral Documents relating to the Notes, shall be entitled to receive, as a condition to such consent or approval, an Officer’s Certificate to the effect that the action or omission for which consent or approval is to be given does not violate this Indenture or the Collateral Documents relating to the Notes, and the Trustee shall be fully protected in giving such consent or approval on the basis of such Officer’s Certificate.</w:t>
      </w:r>
    </w:p>
    <w:p>
      <w:pPr>
        <w:spacing w:after="0" w:line="18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Agreed Security Principles</w:t>
      </w:r>
      <w:r>
        <w:rPr>
          <w:rFonts w:ascii="Arial" w:cs="Arial" w:eastAsia="Arial" w:hAnsi="Arial"/>
          <w:sz w:val="18"/>
          <w:szCs w:val="18"/>
          <w:color w:val="auto"/>
        </w:rPr>
        <w:t>. Notwithstanding anything to the contrary provided elsewhere in this Article 11, the obligations of the Company and each Guarantor pursuant to this Article 11 shall be subject to the Agreed Security Principles.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SATISFACTION AND DISCHARGE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Satisfaction and Discharge</w:t>
      </w:r>
      <w:r>
        <w:rPr>
          <w:rFonts w:ascii="Arial" w:cs="Arial" w:eastAsia="Arial" w:hAnsi="Arial"/>
          <w:sz w:val="16"/>
          <w:szCs w:val="16"/>
          <w:color w:val="auto"/>
        </w:rPr>
        <w:t>. This Indenture shall be discharged and shall cease to be of further effect as to all Notes, when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either:</w:t>
      </w:r>
    </w:p>
    <w:p>
      <w:pPr>
        <w:spacing w:after="0" w:line="103" w:lineRule="exact"/>
        <w:rPr>
          <w:sz w:val="20"/>
          <w:szCs w:val="20"/>
          <w:color w:val="auto"/>
        </w:rPr>
      </w:pPr>
    </w:p>
    <w:p>
      <w:pPr>
        <w:ind w:left="460" w:firstLine="443"/>
        <w:spacing w:after="0" w:line="277" w:lineRule="auto"/>
        <w:tabs>
          <w:tab w:leader="none" w:pos="1153"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all Notes heretofore authenticated and delivered, except lost, stolen or destroyed Notes which have been replaced or paid and Notes for whose payment money has heretofore been deposited in trust, have been delivered to the Trustee for cancellation; or</w:t>
      </w:r>
    </w:p>
    <w:p>
      <w:pPr>
        <w:spacing w:after="0" w:line="62" w:lineRule="exact"/>
        <w:rPr>
          <w:rFonts w:ascii="Arial" w:cs="Arial" w:eastAsia="Arial" w:hAnsi="Arial"/>
          <w:sz w:val="18"/>
          <w:szCs w:val="18"/>
          <w:color w:val="auto"/>
        </w:rPr>
      </w:pPr>
    </w:p>
    <w:p>
      <w:pPr>
        <w:ind w:left="460" w:right="80" w:firstLine="443"/>
        <w:spacing w:after="0" w:line="272" w:lineRule="auto"/>
        <w:tabs>
          <w:tab w:leader="none" w:pos="1153" w:val="left"/>
        </w:tabs>
        <w:numPr>
          <w:ilvl w:val="0"/>
          <w:numId w:val="511"/>
        </w:numPr>
        <w:rPr>
          <w:rFonts w:ascii="Arial" w:cs="Arial" w:eastAsia="Arial" w:hAnsi="Arial"/>
          <w:sz w:val="17"/>
          <w:szCs w:val="17"/>
          <w:color w:val="auto"/>
        </w:rPr>
      </w:pPr>
      <w:r>
        <w:rPr>
          <w:rFonts w:ascii="Arial" w:cs="Arial" w:eastAsia="Arial" w:hAnsi="Arial"/>
          <w:sz w:val="17"/>
          <w:szCs w:val="17"/>
          <w:color w:val="auto"/>
        </w:rPr>
        <w:t>(A) all Notes not heretofore delivered to the Trustee for cancellation have become due and payable by reason of the making of a notice of redemption or otherwise, will become due and payable within one year or are to be called for redemption within one year under arrangements satisfactory to the Trustee for the giving of notice of redemption by the Trustee in the name, and at the expense, of the Issuer, and the Issuer or any Guarantor has irrevocably deposited or caused to be deposited with the Trustee as trust funds in trust solely for the benefit of the Holders of the Notes, cash in U.S. dollars, U.S. dollar-denominated Government Securities, or a combination thereof, in such amounts as will be sufficient without consideration of any reinvestment of interest to pay and discharge the entire indebtedness on the Notes not heretofore delivered to the Trustee for cancellation for principal, premium, if any, and accrued interest to the date of maturity or redemption;</w:t>
      </w:r>
    </w:p>
    <w:p>
      <w:pPr>
        <w:spacing w:after="0" w:line="69" w:lineRule="exact"/>
        <w:rPr>
          <w:rFonts w:ascii="Arial" w:cs="Arial" w:eastAsia="Arial" w:hAnsi="Arial"/>
          <w:sz w:val="17"/>
          <w:szCs w:val="17"/>
          <w:color w:val="auto"/>
        </w:rPr>
      </w:pPr>
    </w:p>
    <w:p>
      <w:pPr>
        <w:ind w:left="920" w:right="40" w:firstLine="421"/>
        <w:spacing w:after="0" w:line="271" w:lineRule="auto"/>
        <w:tabs>
          <w:tab w:leader="none" w:pos="1625" w:val="left"/>
        </w:tabs>
        <w:numPr>
          <w:ilvl w:val="1"/>
          <w:numId w:val="511"/>
        </w:numPr>
        <w:rPr>
          <w:rFonts w:ascii="Arial" w:cs="Arial" w:eastAsia="Arial" w:hAnsi="Arial"/>
          <w:sz w:val="17"/>
          <w:szCs w:val="17"/>
          <w:color w:val="auto"/>
        </w:rPr>
      </w:pPr>
      <w:r>
        <w:rPr>
          <w:rFonts w:ascii="Arial" w:cs="Arial" w:eastAsia="Arial" w:hAnsi="Arial"/>
          <w:sz w:val="17"/>
          <w:szCs w:val="17"/>
          <w:color w:val="auto"/>
        </w:rPr>
        <w:t>no Default (other than that resulting from borrowing funds to be applied to make such deposit or any similar and simultaneous deposit relating to other Indebtedness and the granting of Liens in connection therewith) with respect to this Indenture or the Notes shall have occurred and be continuing on the date of such deposit or shall occur as a result of such deposit and such deposit will not result in a breach or violation of, or constitute a default under the Senior Credit Facilities, the Existing Secured Notes, the NXP Notes, the indentures pursuant to which the Existing Secured Notes were issued, the indentures pursuant to which the NXP Notes were issued or any other material agreement or instrument (other than this Indenture) to which the Issuer or any Guarantor is a party or by which the Issuer or any Guarantor is bound (other than resulting from any borrowing of funds to be applied to make such deposit and any similar and simultaneous deposit relating to other Indebtedness and the granting of Liens in connection therewith);</w:t>
      </w:r>
    </w:p>
    <w:p>
      <w:pPr>
        <w:spacing w:after="0" w:line="70" w:lineRule="exact"/>
        <w:rPr>
          <w:rFonts w:ascii="Arial" w:cs="Arial" w:eastAsia="Arial" w:hAnsi="Arial"/>
          <w:sz w:val="17"/>
          <w:szCs w:val="17"/>
          <w:color w:val="auto"/>
        </w:rPr>
      </w:pPr>
    </w:p>
    <w:p>
      <w:pPr>
        <w:ind w:left="1620" w:hanging="279"/>
        <w:spacing w:after="0"/>
        <w:tabs>
          <w:tab w:leader="none" w:pos="16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the Issuer has paid or caused to be paid all sums payable by it under this Indenture; and</w:t>
      </w:r>
    </w:p>
    <w:p>
      <w:pPr>
        <w:spacing w:after="0" w:line="117" w:lineRule="exact"/>
        <w:rPr>
          <w:rFonts w:ascii="Arial" w:cs="Arial" w:eastAsia="Arial" w:hAnsi="Arial"/>
          <w:sz w:val="18"/>
          <w:szCs w:val="18"/>
          <w:color w:val="auto"/>
        </w:rPr>
      </w:pPr>
    </w:p>
    <w:p>
      <w:pPr>
        <w:ind w:left="920" w:right="540" w:firstLine="421"/>
        <w:spacing w:after="0" w:line="277" w:lineRule="auto"/>
        <w:tabs>
          <w:tab w:leader="none" w:pos="1635" w:val="left"/>
        </w:tabs>
        <w:numPr>
          <w:ilvl w:val="1"/>
          <w:numId w:val="511"/>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money toward the payment of the Notes at maturity or the Redemption Date, as the case may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273" w:right="279" w:bottom="1440" w:gutter="0" w:footer="0" w:header="0"/>
        </w:sectPr>
      </w:pPr>
    </w:p>
    <w:bookmarkStart w:id="316" w:name="page317"/>
    <w:bookmarkEnd w:id="316"/>
    <w:p>
      <w:pPr>
        <w:ind w:right="4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the Issuer must deliver an Officer’s Certificate and an Opinion of Counsel to the Trustee stating that all conditions precedent to satisfaction and discharge have been satisfied.</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Notwithstanding the satisfaction and discharge of this Indenture, if money shall have been deposited with the Trustee pursuant to subclause (A) of clause (2) of this Section 12.01, the provisions of Section 12.02 and Section 8.06 hereof shall survive.</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 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If the Trustee or Paying Agent is unable to apply any money or Government Securities in accordance with Section 12.01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12.01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communication by the Issuer, any Guarantor or the Trustee to the others is duly given if in writing and delivered in person or mailed by first-class mail (registered or certified, return receipt requested), fax or overnight air courier guaranteeing next day delivery, to the others’ address: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Issuer and/or any Guarantor: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Freescale Semiconductor,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6501 William Cannon Drive West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Austin, Texas 78735 Fax: (512) 996-6853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NXP Semiconductors N.V.</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High Tech Campus 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5656 AG Eindhoven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Erik Thyssen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+(31) 20 5407500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4" w:right="239" w:bottom="1440" w:gutter="0" w:footer="0" w:header="0"/>
        </w:sectPr>
      </w:pPr>
    </w:p>
    <w:bookmarkStart w:id="317" w:name="page318"/>
    <w:bookmarkEnd w:id="31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Trustee: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750 N. Saint Paul Place, Suite 1750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No.: (214) 756-7401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Corporate Trust, Municipal and Escrow Services</w:t>
      </w:r>
    </w:p>
    <w:p>
      <w:pPr>
        <w:spacing w:after="0" w:line="21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The Issuer, any Guarantor or the Trustee, by notice to the others, may designate additional or different addresses for subsequent notices or communications.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All notices and communications (other than those sent to Holders) shall be deemed to have been duly given: at the time delivered by hand, if personally delivered; five calendar days after being deposited in the mail, postage prepaid, if mailed by first- class mail; when receipt acknowledged, if faxed; and the next Business Day after timely delivery to the courier, if sent by overnight air courier guaranteeing next day delivery;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or communication delivered to the Trustee shall be deemed effective upon actual receipt thereof.</w:t>
      </w:r>
    </w:p>
    <w:p>
      <w:pPr>
        <w:spacing w:after="0" w:line="18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Any notice or communication to a Holder of Definitive Notes shall be mailed by first-class mail, certified or registered, return receipt requested, or by overnight air courier guaranteeing next day delivery to its address shown on the Note Register kept by the Registrar. Any notice or communication to a Holder of Global Notes shall be sent by the Applicable Procedures. Failure to send a notice or communication to a Holder or any defect in it shall not affect its sufficiency with respect to other Holders.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a notice or communication is sent in the manner provided above within the time prescribed, it is duly given, whether or not the addressee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receives it.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Issuer sends a notice or communication to Holders, it shall mail a copy to the Trustee and each Agent at the same time.</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Communication by Holders of Notes with Other Holders of Notes</w:t>
      </w:r>
      <w:r>
        <w:rPr>
          <w:rFonts w:ascii="Arial" w:cs="Arial" w:eastAsia="Arial" w:hAnsi="Arial"/>
          <w:sz w:val="18"/>
          <w:szCs w:val="18"/>
          <w:color w:val="auto"/>
        </w:rPr>
        <w:t>. Holders may communicate with other Holders with respect to their rights under this Indenture or the Notes.</w:t>
      </w:r>
    </w:p>
    <w:p>
      <w:pPr>
        <w:spacing w:after="0" w:line="170"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u w:val="single" w:color="auto"/>
          <w:color w:val="auto"/>
        </w:rPr>
        <w:t>Certificate and Opinion as to Conditions Precedent</w:t>
      </w:r>
      <w:r>
        <w:rPr>
          <w:rFonts w:ascii="Arial" w:cs="Arial" w:eastAsia="Arial" w:hAnsi="Arial"/>
          <w:sz w:val="17"/>
          <w:szCs w:val="17"/>
          <w:color w:val="auto"/>
        </w:rPr>
        <w:t>. Upon any request or application by the Issuer or any of the Guarantors to the Trustee to take any action under this Indenture, the Issuer or such Guarantor, as the case may be, shall furnish to the Trustee:</w:t>
      </w:r>
    </w:p>
    <w:p>
      <w:pPr>
        <w:spacing w:after="0" w:line="38" w:lineRule="exact"/>
        <w:rPr>
          <w:sz w:val="20"/>
          <w:szCs w:val="20"/>
          <w:color w:val="auto"/>
        </w:rPr>
      </w:pPr>
    </w:p>
    <w:p>
      <w:pPr>
        <w:ind w:left="920" w:right="160" w:firstLine="421"/>
        <w:spacing w:after="0" w:line="264" w:lineRule="auto"/>
        <w:tabs>
          <w:tab w:leader="none" w:pos="163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An Officer’s Certificate of the Issuer in form and substance reasonably satisfactory to the Trustee (which shall include the statements set forth in Section 13.04 hereof) stating that, in the opinion of the signers, all conditions precedent and covenants, if any, provided for in this Indenture relating to the proposed action have been satisfied; and</w:t>
      </w:r>
    </w:p>
    <w:p>
      <w:pPr>
        <w:spacing w:after="0" w:line="73" w:lineRule="exact"/>
        <w:rPr>
          <w:rFonts w:ascii="Arial" w:cs="Arial" w:eastAsia="Arial" w:hAnsi="Arial"/>
          <w:sz w:val="18"/>
          <w:szCs w:val="18"/>
          <w:color w:val="auto"/>
        </w:rPr>
      </w:pPr>
    </w:p>
    <w:p>
      <w:pPr>
        <w:ind w:left="920" w:right="320" w:firstLine="421"/>
        <w:spacing w:after="0" w:line="342" w:lineRule="auto"/>
        <w:tabs>
          <w:tab w:leader="none" w:pos="1625" w:val="left"/>
        </w:tabs>
        <w:numPr>
          <w:ilvl w:val="0"/>
          <w:numId w:val="512"/>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shall include the statements set forth in Section 13.04 hereof) stating that, in the opinion of such counsel, all such conditions precedent and covenants have been satisfied.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273" w:right="279" w:bottom="1440" w:gutter="0" w:footer="0" w:header="0"/>
        </w:sectPr>
      </w:pPr>
    </w:p>
    <w:bookmarkStart w:id="318" w:name="page319"/>
    <w:bookmarkEnd w:id="318"/>
    <w:p>
      <w:pPr>
        <w:ind w:right="5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13.04.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shall include:</w:t>
      </w:r>
    </w:p>
    <w:p>
      <w:pPr>
        <w:spacing w:after="0" w:line="62" w:lineRule="exact"/>
        <w:rPr>
          <w:sz w:val="20"/>
          <w:szCs w:val="20"/>
          <w:color w:val="auto"/>
        </w:rPr>
      </w:pPr>
    </w:p>
    <w:p>
      <w:pPr>
        <w:ind w:left="1640" w:hanging="299"/>
        <w:spacing w:after="0"/>
        <w:tabs>
          <w:tab w:leader="none" w:pos="16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920" w:firstLine="421"/>
        <w:spacing w:after="0" w:line="277" w:lineRule="auto"/>
        <w:tabs>
          <w:tab w:leader="none" w:pos="1625"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920" w:right="100" w:firstLine="421"/>
        <w:spacing w:after="0" w:line="264" w:lineRule="auto"/>
        <w:tabs>
          <w:tab w:leader="none" w:pos="1625"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 The Trustee may make reasonable rules for action by or at a meeting of Holders. The Registrar, Paying Agent or Calculation Agent may make reasonable rules and set reasonable requirements for its functions.</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13.06. </w:t>
      </w:r>
      <w:r>
        <w:rPr>
          <w:rFonts w:ascii="Arial" w:cs="Arial" w:eastAsia="Arial" w:hAnsi="Arial"/>
          <w:sz w:val="16"/>
          <w:szCs w:val="16"/>
          <w:u w:val="single" w:color="auto"/>
          <w:color w:val="auto"/>
        </w:rPr>
        <w:t>No Personal Liability of Directors, Officers, Employees and Stockholders</w:t>
      </w:r>
      <w:r>
        <w:rPr>
          <w:rFonts w:ascii="Arial" w:cs="Arial" w:eastAsia="Arial" w:hAnsi="Arial"/>
          <w:sz w:val="16"/>
          <w:szCs w:val="16"/>
          <w:color w:val="auto"/>
        </w:rPr>
        <w:t>. No director, officer, employee, incorporator or stockholder of the Company, the Issuer or any other Guarantor (other than in the case of stockholders of the Issuer, any Parent Guarantor or any Subsidiary Guarantor, any Parent Guarantor, the Issuer or another Subsidiary Guarantor) or any of their parent companies shall have any liability for any obligations of the Issuer or the Guarantors under the Notes, the Guarantees or this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58"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INDENTURE, THE NOTES, ANY GUARANTEE AND THE COLLATERAL DOCUMENTS RELATING TO THE NOTES WILL BE GOVERNED BY AND CONSTRUED IN ACCORDANCE WITH THE LAWS OF THE STATE OF NEW YORK.</w:t>
      </w:r>
    </w:p>
    <w:p>
      <w:pPr>
        <w:spacing w:after="0" w:line="147" w:lineRule="exact"/>
        <w:rPr>
          <w:sz w:val="20"/>
          <w:szCs w:val="20"/>
          <w:color w:val="auto"/>
        </w:rPr>
      </w:pPr>
    </w:p>
    <w:p>
      <w:pPr>
        <w:ind w:right="360" w:firstLine="913"/>
        <w:spacing w:after="0" w:line="286" w:lineRule="auto"/>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ISSUER, THE GUARANTORS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66" w:lineRule="exact"/>
        <w:rPr>
          <w:sz w:val="20"/>
          <w:szCs w:val="20"/>
          <w:color w:val="auto"/>
        </w:rPr>
      </w:pPr>
    </w:p>
    <w:p>
      <w:pPr>
        <w:ind w:right="260" w:firstLine="913"/>
        <w:spacing w:after="0" w:line="302" w:lineRule="auto"/>
        <w:rPr>
          <w:sz w:val="20"/>
          <w:szCs w:val="20"/>
          <w:color w:val="auto"/>
        </w:rPr>
      </w:pPr>
      <w:r>
        <w:rPr>
          <w:rFonts w:ascii="Arial" w:cs="Arial" w:eastAsia="Arial" w:hAnsi="Arial"/>
          <w:sz w:val="16"/>
          <w:szCs w:val="16"/>
          <w:color w:val="auto"/>
        </w:rPr>
        <w:t xml:space="preserve">SECTION 13.09. </w:t>
      </w:r>
      <w:r>
        <w:rPr>
          <w:rFonts w:ascii="Arial" w:cs="Arial" w:eastAsia="Arial" w:hAnsi="Arial"/>
          <w:sz w:val="16"/>
          <w:szCs w:val="16"/>
          <w:u w:val="single" w:color="auto"/>
          <w:color w:val="auto"/>
        </w:rPr>
        <w:t>Force Majeure</w:t>
      </w:r>
      <w:r>
        <w:rPr>
          <w:rFonts w:ascii="Arial" w:cs="Arial" w:eastAsia="Arial" w:hAnsi="Arial"/>
          <w:sz w:val="16"/>
          <w:szCs w:val="16"/>
          <w:color w:val="auto"/>
        </w:rPr>
        <w:t>. 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or acts of God, interruptions, loss or malfunctions of utilities, communications or computer (software or hardware) services or the availability of the Federal Reserve Bank.</w:t>
      </w:r>
    </w:p>
    <w:p>
      <w:pPr>
        <w:spacing w:after="0" w:line="154"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 This Indenture may not be used to interpret any other indenture, loan or debt agreement of the Issuer or its Restricted Subsidiaries or of any other Person. Any such indenture, loan or debt agreement may not be used to interpret this Indenture.</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Issuer in this Indenture and the Notes shall bind its successors. All agreements of the Trustee in this Indenture shall bind its successors. All agreements of each Guarantor in this Indenture shall bind its successors, except as otherwise provided in Section 10.05 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319" w:name="page320"/>
    <w:bookmarkEnd w:id="319"/>
    <w:p>
      <w:pPr>
        <w:ind w:right="4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13.12.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Counterpart Originals</w:t>
      </w:r>
      <w:r>
        <w:rPr>
          <w:rFonts w:ascii="Arial" w:cs="Arial" w:eastAsia="Arial" w:hAnsi="Arial"/>
          <w:sz w:val="18"/>
          <w:szCs w:val="18"/>
          <w:color w:val="auto"/>
        </w:rPr>
        <w:t>. The parties may sign any number of copies of this Indenture. Each signed copy shall be an original, but all of them together represent the same agreement.</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 xml:space="preserve"> 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u w:val="single" w:color="auto"/>
          <w:color w:val="auto"/>
        </w:rPr>
        <w:t>Currency of Account; Conversion of Currency; Foreign Exchange Restrictions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7" w:lineRule="auto"/>
        <w:tabs>
          <w:tab w:leader="none" w:pos="1158" w:val="left"/>
        </w:tabs>
        <w:numPr>
          <w:ilvl w:val="1"/>
          <w:numId w:val="514"/>
        </w:numPr>
        <w:rPr>
          <w:rFonts w:ascii="Arial" w:cs="Arial" w:eastAsia="Arial" w:hAnsi="Arial"/>
          <w:sz w:val="16"/>
          <w:szCs w:val="16"/>
          <w:color w:val="auto"/>
        </w:rPr>
      </w:pPr>
      <w:r>
        <w:rPr>
          <w:rFonts w:ascii="Arial" w:cs="Arial" w:eastAsia="Arial" w:hAnsi="Arial"/>
          <w:sz w:val="16"/>
          <w:szCs w:val="16"/>
          <w:color w:val="auto"/>
        </w:rPr>
        <w:t>U.S. dollars are the sole currency of account and payment for all sums payable by the Issuer and the Guarantors under or in connection with the Notes, the Guarantees of the Notes or this Indenture, including damages related thereto or hereto. Any amount received or recovered in a currency other than U.S. dollars by a Holder of Notes (whether as a result of, or of the enforcement of, a judgment or order of a court of any jurisdiction, in the winding-up or dissolution of the Issuer or otherwise) in respect of any sum expressed to be due to it from the Issuer shall only constitute a discharge to the Issuer to the extent of the U.S. dollar amount, which the recipient is able to purchase with the amount so received or recovered in that other currency on the date of that receipt or recovery (or, if it is not practicable to make that purchase on that date, on the first date on which it is practicable to do so). If that U.S. dollar amount is less than the U.S. dollar amount expressed to be due to the recipient under the applicable Notes, the Issuer shall indemnify it against any loss sustained by it as a result as set forth in Section 13.15(b). In any event, the Issuer and the Guarantors shall indemnify the recipient against the cost of making any such purchase. For the purposes of this Section 13.15, it will be sufficient for the Holder of a Note to certify in a satisfactory manner (indicating sources of information used) that it would have suffered a loss had an actual purchase of U.S. dollars been made with the amount so received in that other currency on the date of receipt or recovery (or, if a purchase of U.S. dollars on such date had not been practicable, on the first date on which it would have been practicable, it being required that the need for a change of date be certified in the manner mentioned above).</w:t>
      </w:r>
    </w:p>
    <w:p>
      <w:pPr>
        <w:spacing w:after="0" w:line="60" w:lineRule="exact"/>
        <w:rPr>
          <w:rFonts w:ascii="Arial" w:cs="Arial" w:eastAsia="Arial" w:hAnsi="Arial"/>
          <w:sz w:val="16"/>
          <w:szCs w:val="16"/>
          <w:color w:val="auto"/>
        </w:rPr>
      </w:pPr>
    </w:p>
    <w:p>
      <w:pPr>
        <w:ind w:firstLine="921"/>
        <w:spacing w:after="0" w:line="277" w:lineRule="auto"/>
        <w:tabs>
          <w:tab w:leader="none" w:pos="1168"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The Issuer and the Guarantors, jointly and severally, covenant and agree that the following provisions shall apply to conversion of currency in the case of the Notes, the Guarantees and this Indenture:</w:t>
      </w:r>
    </w:p>
    <w:p>
      <w:pPr>
        <w:spacing w:after="0" w:line="62" w:lineRule="exact"/>
        <w:rPr>
          <w:rFonts w:ascii="Arial" w:cs="Arial" w:eastAsia="Arial" w:hAnsi="Arial"/>
          <w:sz w:val="18"/>
          <w:szCs w:val="18"/>
          <w:color w:val="auto"/>
        </w:rPr>
      </w:pPr>
    </w:p>
    <w:p>
      <w:pPr>
        <w:ind w:left="460" w:right="40" w:firstLine="443"/>
        <w:spacing w:after="0" w:line="259" w:lineRule="auto"/>
        <w:tabs>
          <w:tab w:leader="none" w:pos="1153" w:val="left"/>
        </w:tabs>
        <w:numPr>
          <w:ilvl w:val="0"/>
          <w:numId w:val="515"/>
        </w:numPr>
        <w:rPr>
          <w:rFonts w:ascii="Arial" w:cs="Arial" w:eastAsia="Arial" w:hAnsi="Arial"/>
          <w:sz w:val="18"/>
          <w:szCs w:val="18"/>
          <w:color w:val="auto"/>
        </w:rPr>
      </w:pPr>
      <w:r>
        <w:rPr>
          <w:rFonts w:ascii="Arial" w:cs="Arial" w:eastAsia="Arial" w:hAnsi="Arial"/>
          <w:sz w:val="18"/>
          <w:szCs w:val="18"/>
          <w:color w:val="auto"/>
        </w:rPr>
        <w:t>(A) If for the purpose of obtaining judgment in, or enforcing the judgment of, any court in any country, it becomes necessary to convert into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an amount due in any other currency (the “</w:t>
      </w:r>
      <w:r>
        <w:rPr>
          <w:rFonts w:ascii="Arial" w:cs="Arial" w:eastAsia="Arial" w:hAnsi="Arial"/>
          <w:sz w:val="18"/>
          <w:szCs w:val="18"/>
          <w:u w:val="single" w:color="auto"/>
          <w:color w:val="auto"/>
        </w:rPr>
        <w:t>Base Currency</w:t>
      </w:r>
      <w:r>
        <w:rPr>
          <w:rFonts w:ascii="Arial" w:cs="Arial" w:eastAsia="Arial" w:hAnsi="Arial"/>
          <w:sz w:val="18"/>
          <w:szCs w:val="18"/>
          <w:color w:val="auto"/>
        </w:rPr>
        <w:t>”), then the conversion shall be made at the rate of exchange prevailing on the Business Day before the day on which the judgment is given or the order of enforcement is made, as the case may be (unless a court shall otherwise determine).</w:t>
      </w:r>
    </w:p>
    <w:p>
      <w:pPr>
        <w:spacing w:after="0" w:line="78" w:lineRule="exact"/>
        <w:rPr>
          <w:rFonts w:ascii="Arial" w:cs="Arial" w:eastAsia="Arial" w:hAnsi="Arial"/>
          <w:sz w:val="18"/>
          <w:szCs w:val="18"/>
          <w:color w:val="auto"/>
        </w:rPr>
      </w:pPr>
    </w:p>
    <w:p>
      <w:pPr>
        <w:ind w:left="460" w:right="220" w:firstLine="881"/>
        <w:spacing w:after="0" w:line="257" w:lineRule="auto"/>
        <w:tabs>
          <w:tab w:leader="none" w:pos="1621" w:val="left"/>
        </w:tabs>
        <w:numPr>
          <w:ilvl w:val="2"/>
          <w:numId w:val="515"/>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Business Day before the day on which the judgment is given or an order of enforcement is made, as the case may be (or such other date as a court shall determine), and the date of receipt of the amount due, the Issuer and the Guarantors will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274" w:right="259" w:bottom="1440" w:gutter="0" w:footer="0" w:header="0"/>
        </w:sectPr>
      </w:pPr>
    </w:p>
    <w:bookmarkStart w:id="320" w:name="page321"/>
    <w:bookmarkEnd w:id="320"/>
    <w:p>
      <w:pPr>
        <w:ind w:left="460" w:right="220" w:firstLine="443"/>
        <w:spacing w:after="0" w:line="288" w:lineRule="auto"/>
        <w:tabs>
          <w:tab w:leader="none" w:pos="1153" w:val="left"/>
        </w:tabs>
        <w:numPr>
          <w:ilvl w:val="1"/>
          <w:numId w:val="5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the winding-up of the Issuer or any Guarantor at any time while any amount or damages owing under the Notes, the Guarantees and this Indenture, or any judgment or order rendered in respect thereof, shall remain outstanding, the Issuer and the Guarantors shall indemnify and hold the Holders and the Trustee harmless against any deficiency arising or resulting from any variation in rates of exchange between</w:t>
      </w:r>
    </w:p>
    <w:p>
      <w:pPr>
        <w:ind w:left="460" w:right="40" w:firstLine="4"/>
        <w:spacing w:after="0" w:line="252" w:lineRule="auto"/>
        <w:tabs>
          <w:tab w:leader="none" w:pos="675"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date as of which the Applicable Currency Equivalent of the amount due or contingently due under the Notes, the Guarantees and this Indenture (other than under this subsection (b)(2)) is calculated for the purposes of such winding-up and (ii) the final date for the filing of proofs of claim in such winding-up. For the purpose of this subsection (b)(2), the final date for the filing of proofs of claim in the winding-up of the Issuer or any Guarantor shall be the date fixed by the liquidator or otherwise in accordance with the relevant provisions of applicable law as being the latest practicable date as at which liabilities of the Issuer or such Guarantor may be ascertained for such winding-up prior to payment by the liquidator or otherwise in respect thereto.</w:t>
      </w:r>
    </w:p>
    <w:p>
      <w:pPr>
        <w:spacing w:after="0" w:line="86" w:lineRule="exact"/>
        <w:rPr>
          <w:rFonts w:ascii="Arial" w:cs="Arial" w:eastAsia="Arial" w:hAnsi="Arial"/>
          <w:sz w:val="18"/>
          <w:szCs w:val="18"/>
          <w:color w:val="auto"/>
        </w:rPr>
      </w:pPr>
    </w:p>
    <w:p>
      <w:pPr>
        <w:ind w:right="80" w:firstLine="921"/>
        <w:spacing w:after="0" w:line="290" w:lineRule="auto"/>
        <w:tabs>
          <w:tab w:leader="none" w:pos="1158" w:val="left"/>
        </w:tabs>
        <w:numPr>
          <w:ilvl w:val="2"/>
          <w:numId w:val="517"/>
        </w:numPr>
        <w:rPr>
          <w:rFonts w:ascii="Arial" w:cs="Arial" w:eastAsia="Arial" w:hAnsi="Arial"/>
          <w:sz w:val="16"/>
          <w:szCs w:val="16"/>
          <w:color w:val="auto"/>
        </w:rPr>
      </w:pPr>
      <w:r>
        <w:rPr>
          <w:rFonts w:ascii="Arial" w:cs="Arial" w:eastAsia="Arial" w:hAnsi="Arial"/>
          <w:sz w:val="16"/>
          <w:szCs w:val="16"/>
          <w:color w:val="auto"/>
        </w:rPr>
        <w:t>The obligations contained in this Section 13.15 shall constitute separate and independent obligations from the other obligations of the Issuer and the Guarantors under this Indenture, shall give rise to separate and independent causes of action against the Issuer and the Guarantors, shall apply irrespective of any waiver or extension granted by any Holder or the Trustee or either of them from time to time and shall continue in full force and effect notwithstanding any judgment or order or the filing of any proof of claim in the winding-up of the Issuer or any Guarantor for a liquidated sum in respect of amounts due hereunder (other than under subsection (b)(2) above) or under any such judgment or order. Any such deficiency as aforesaid shall be deemed to constitute a loss suffered by the Holders or the Trustee, as the case may be, and no proof or evidence of any actual loss shall be required by the Issuer or any Guarantor or the liquidator or otherwise or any of them. In the case of subsection (b)(2) above, the amount of such deficiency shall not be deemed to be reduced by any variation in rates of exchange occurring between the said final date and the date of any liquidating distribution.</w:t>
      </w:r>
    </w:p>
    <w:p>
      <w:pPr>
        <w:spacing w:after="0" w:line="58" w:lineRule="exact"/>
        <w:rPr>
          <w:rFonts w:ascii="Arial" w:cs="Arial" w:eastAsia="Arial" w:hAnsi="Arial"/>
          <w:sz w:val="16"/>
          <w:szCs w:val="16"/>
          <w:color w:val="auto"/>
        </w:rPr>
      </w:pPr>
    </w:p>
    <w:p>
      <w:pPr>
        <w:jc w:val="both"/>
        <w:ind w:right="160" w:firstLine="921"/>
        <w:spacing w:after="0" w:line="264" w:lineRule="auto"/>
        <w:tabs>
          <w:tab w:leader="none" w:pos="1168" w:val="left"/>
        </w:tabs>
        <w:numPr>
          <w:ilvl w:val="2"/>
          <w:numId w:val="517"/>
        </w:numPr>
        <w:rPr>
          <w:rFonts w:ascii="Arial" w:cs="Arial" w:eastAsia="Arial" w:hAnsi="Arial"/>
          <w:sz w:val="18"/>
          <w:szCs w:val="18"/>
          <w:color w:val="auto"/>
        </w:rPr>
      </w:pPr>
      <w:r>
        <w:rPr>
          <w:rFonts w:ascii="Arial" w:cs="Arial" w:eastAsia="Arial" w:hAnsi="Arial"/>
          <w:sz w:val="18"/>
          <w:szCs w:val="18"/>
          <w:color w:val="auto"/>
        </w:rPr>
        <w:t>The term “rate(s) of exchange” shall mean the rate of exchange quoted by Reuters at 10:00 A.M. (New York time) for spot purchases of the Base Currency with the Judgment Currency other than the Base Currency referred to in subsections (b)(1) and (b)(2) above and includes any premiums and costs of exchange payable.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13.16. </w:t>
      </w:r>
      <w:r>
        <w:rPr>
          <w:rFonts w:ascii="Arial" w:cs="Arial" w:eastAsia="Arial" w:hAnsi="Arial"/>
          <w:sz w:val="18"/>
          <w:szCs w:val="18"/>
          <w:u w:val="single" w:color="auto"/>
          <w:color w:val="auto"/>
        </w:rPr>
        <w:t>Consent to Jurisdiction and Service</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Each of the Company, Holdings I, Holdings II, Holdings III and Holdings IV and any Subsidiary Guarantor that is a Foreign Subsidiary shall appoint Corporation Service Company as its agent for actions relating to the Notes, this Indenture or the Collateral Documents relating to the Notes or brought under U.S. Federal or state securities laws brought in any U.S. Federal or state court located in the Borough of Manhattan in The City of New York.</w:t>
      </w:r>
    </w:p>
    <w:p>
      <w:pPr>
        <w:spacing w:after="0" w:line="14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Each of Issuer, the Company, Holdings I, Holdings II, Holdings III and Holdings IV and any Subsidiary Guarantor that is a Foreign Subsidiary and the Trustee irrevocably submit to the personal jurisdiction of any New York state or United States federal court located in the Borough of Manhattan in the City of New York in any action arising out of or relating to this Indenture, the Notes or any of the other Collateral Documents relating to the Notes to which each is or is to be a party, or for recognition or enforcement of any judgment, and Issuer, the Company, Holdings I, Holdings II, Holdings III and Holdings IV and any Subsidiary Guarantor that is a Foreign Subsidiary and the Trustee hereby irrevocably and unconditionally agree that all claims in respect of such action or proceeding may be heard and determined in any such court of the State of New York or, to the extent permitted by law, in such Federal court. Issuer, the Company, Holdings I, Holdings II, Holdings III</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274" w:right="279" w:bottom="1440" w:gutter="0" w:footer="0" w:header="0"/>
        </w:sectPr>
      </w:pPr>
    </w:p>
    <w:bookmarkStart w:id="321" w:name="page322"/>
    <w:bookmarkEnd w:id="32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Holdings IV and any Subsidiary Guarantor that is a Foreign Subsidiary and the Trustee irrevocably waive, to the fullest extent permitted by law, any objection which it may now or hereafter have to the laying of venue of any suit, action or proceeding arising out of or relating to this Indenture in such courts. Nothing in this Indenture, the Notes or any other Collateral Document shall affect any right that any party may otherwise have to bring any action or proceeding relating to this Indenture, the Notes or any other Collateral Document in the courts of any jurisdiction.</w:t>
      </w:r>
    </w:p>
    <w:p>
      <w:pPr>
        <w:spacing w:after="0" w:line="17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13.17.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In respect of this Indenture, the Trustee shall not have any duty or obligation to verify or confirm that the Person sending instructions, directions, reports, notices or other communications or information by electronic transmission (including by e-mail, pdf, facsimile transmission or other similar secured or unsecured electronic methods)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such electronic methods to submit instructions, directions, reports, notices or other communications or information to the Trustee, including without limitation the risk of the Trustee acting on unauthorized instructions, notices, reports or other communications or information, and the risk of interception and misuse by third parties.</w:t>
      </w:r>
    </w:p>
    <w:p>
      <w:pPr>
        <w:spacing w:after="0" w:line="166"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SECTION 13.18. </w:t>
      </w:r>
      <w:r>
        <w:rPr>
          <w:rFonts w:ascii="Arial" w:cs="Arial" w:eastAsia="Arial" w:hAnsi="Arial"/>
          <w:sz w:val="18"/>
          <w:szCs w:val="18"/>
          <w:u w:val="single" w:color="auto"/>
          <w:color w:val="auto"/>
        </w:rPr>
        <w:t>Patriot Act</w:t>
      </w:r>
      <w:r>
        <w:rPr>
          <w:rFonts w:ascii="Arial" w:cs="Arial" w:eastAsia="Arial" w:hAnsi="Arial"/>
          <w:sz w:val="18"/>
          <w:szCs w:val="18"/>
          <w:color w:val="auto"/>
        </w:rPr>
        <w:t>. In order to comply with laws, rules, regulations and executive orders in effect from time to time applicable to banking institutions, including those relating to the funding of terrorist activities and money laundering (“Specified Law”), Wells Fargo Bank, National Association is required to obtain, verify and record certain information relating to individuals and entities which maintain a business relationship with Wells Fargo Bank, National Association. Accordingly, the Issuer agrees to provide to Wells Fargo Bank, National Association upon its request from time to time such identifying information and documentation as may be available to the Issuer in order to enable Wells Fargo Bank, National Association to comply with Specified Law.</w:t>
      </w:r>
    </w:p>
    <w:p>
      <w:pPr>
        <w:spacing w:after="0" w:line="193" w:lineRule="exact"/>
        <w:rPr>
          <w:sz w:val="20"/>
          <w:szCs w:val="20"/>
          <w:color w:val="auto"/>
        </w:rPr>
      </w:pPr>
    </w:p>
    <w:p>
      <w:pPr>
        <w:ind w:right="160" w:firstLine="913"/>
        <w:spacing w:after="0" w:line="288" w:lineRule="auto"/>
        <w:rPr>
          <w:sz w:val="20"/>
          <w:szCs w:val="20"/>
          <w:color w:val="auto"/>
        </w:rPr>
      </w:pPr>
      <w:r>
        <w:rPr>
          <w:rFonts w:ascii="Arial" w:cs="Arial" w:eastAsia="Arial" w:hAnsi="Arial"/>
          <w:sz w:val="16"/>
          <w:szCs w:val="16"/>
          <w:color w:val="auto"/>
        </w:rPr>
        <w:t xml:space="preserve">SECTION 13.19.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Subject to the Agreed Security Principles, the Issuer and its Restricted Subsidiaries hereby covenant and agree that as of the Merger Date and thereafter, promptly upon request by the Trustee or the Collateral Agent, as the case may be, it will (a) correct any material defect or error that may be discovered in any First Lien Debt Documents or in the execution, acknowledgment, filing or recordation thereof, and</w:t>
      </w:r>
    </w:p>
    <w:p>
      <w:pPr>
        <w:ind w:right="240" w:firstLine="8"/>
        <w:spacing w:after="0" w:line="255" w:lineRule="auto"/>
        <w:tabs>
          <w:tab w:leader="none" w:pos="25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do, execute, acknowledge, deliver, record, re-record, file, re-file, register and reregister any and all such further acts, deeds, certificates, assurances and other instruments as the Trustee, may reasonably require from time to time in order to carry out more effectively the purposes of any First Lien Debt Documents.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274" w:right="27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FREESCALE SEMICONDUCTOR, INC., as Issuer</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 Amended and Restated Indenture - 6% Senior Secured Notes due 2022]</w:t>
      </w:r>
    </w:p>
    <w:p>
      <w:pPr>
        <w:sectPr>
          <w:pgSz w:w="11900" w:h="16838" w:orient="portrait"/>
          <w:cols w:equalWidth="0" w:num="1">
            <w:col w:w="9420"/>
          </w:cols>
          <w:pgMar w:left="1440" w:top="273" w:right="1039" w:bottom="1440" w:gutter="0" w:footer="0" w:header="0"/>
        </w:sectPr>
      </w:pPr>
    </w:p>
    <w:bookmarkStart w:id="323" w:name="page324"/>
    <w:bookmarkEnd w:id="32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FREESCALE SEMICONDUCTOR, LTD.</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FREESCALE SEMICONDUCTOR HOLDINGS II, LTD.</w:t>
      </w:r>
    </w:p>
    <w:p>
      <w:pPr>
        <w:spacing w:after="0" w:line="23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FREESCALE SEMICONDUCTOR HOLDINGS III, LTD.</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FREESCALE SEMICONDUCTOR HOLDINGS IV, LTD.</w:t>
      </w:r>
    </w:p>
    <w:p>
      <w:pPr>
        <w:spacing w:after="0" w:line="23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FREESCALE SEMICONDUCTOR HOLDINGS V, INC.</w:t>
      </w:r>
    </w:p>
    <w:p>
      <w:pPr>
        <w:spacing w:after="0" w:line="23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SIGMATEL, LLC</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 Amended and Restated Indenture - 6% Senior Secured Notes due 2022]</w:t>
      </w:r>
    </w:p>
    <w:p>
      <w:pPr>
        <w:sectPr>
          <w:pgSz w:w="11900" w:h="16838" w:orient="portrait"/>
          <w:cols w:equalWidth="0" w:num="1">
            <w:col w:w="9920"/>
          </w:cols>
          <w:pgMar w:left="1440" w:top="273" w:right="539" w:bottom="1440" w:gutter="0" w:footer="0" w:header="0"/>
        </w:sectPr>
      </w:pPr>
    </w:p>
    <w:bookmarkStart w:id="324" w:name="page325"/>
    <w:bookmarkEnd w:id="32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NXP B.V.</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FUNDING LLC</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SEMICONDUCTORS NETHERLANDS B.V.</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SEMICONDUCTORS USA INC.</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SEMICONDUCTORS UK LIMITED</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SEMICONDUCTORS GERMANY GMBH</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NXP SEMICONDUCTORS HONG KONG LIMITED</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 Amended and Restated Indenture - 6% Senior Secured Notes due 2022]</w:t>
      </w:r>
    </w:p>
    <w:p>
      <w:pPr>
        <w:sectPr>
          <w:pgSz w:w="11900" w:h="16838" w:orient="portrait"/>
          <w:cols w:equalWidth="0" w:num="1">
            <w:col w:w="9620"/>
          </w:cols>
          <w:pgMar w:left="1440" w:top="274" w:right="839" w:bottom="1440" w:gutter="0" w:footer="0" w:header="0"/>
        </w:sectPr>
      </w:pPr>
    </w:p>
    <w:bookmarkStart w:id="325" w:name="page326"/>
    <w:bookmarkEnd w:id="32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NXP SEMICONDUCTORS PHILIPPINES INC.</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NXP SEMICONDUCTORS SINGAPORE PTE. LTD.</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1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SEMICONDUCTORS TAIWAN LTD.</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1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NXP MANUFACTURING (THAILAND) LTD</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Jean Schreurs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Jean Schreurs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 Amended and Restated Indenture - 6% Senior Secured Notes due 2022]</w:t>
      </w:r>
    </w:p>
    <w:p>
      <w:pPr>
        <w:sectPr>
          <w:pgSz w:w="11900" w:h="16838" w:orient="portrait"/>
          <w:cols w:equalWidth="0" w:num="1">
            <w:col w:w="9600"/>
          </w:cols>
          <w:pgMar w:left="1440" w:top="274" w:right="859" w:bottom="1440" w:gutter="0" w:footer="0" w:header="0"/>
        </w:sectPr>
      </w:pPr>
    </w:p>
    <w:bookmarkStart w:id="326" w:name="page327"/>
    <w:bookmarkEnd w:id="32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5920"/>
        <w:spacing w:after="0"/>
        <w:tabs>
          <w:tab w:leader="none" w:pos="6280" w:val="left"/>
        </w:tabs>
        <w:rPr>
          <w:sz w:val="20"/>
          <w:szCs w:val="20"/>
          <w:color w:val="auto"/>
        </w:rPr>
      </w:pPr>
      <w:r>
        <w:rPr>
          <w:rFonts w:ascii="Arial" w:cs="Arial" w:eastAsia="Arial" w:hAnsi="Arial"/>
          <w:sz w:val="18"/>
          <w:szCs w:val="18"/>
          <w:color w:val="auto"/>
        </w:rPr>
        <w:t>by</w:t>
        <w:tab/>
        <w:t>/s/ John C. Stohlman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14605</wp:posOffset>
            </wp:positionV>
            <wp:extent cx="248729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John C. Stohlman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 Amended and Restated Indenture - 6% Senior Secured Notes due 2022]</w:t>
      </w:r>
    </w:p>
    <w:p>
      <w:pPr>
        <w:sectPr>
          <w:pgSz w:w="11900" w:h="16838" w:orient="portrait"/>
          <w:cols w:equalWidth="0" w:num="1">
            <w:col w:w="9960"/>
          </w:cols>
          <w:pgMar w:left="1440" w:top="274" w:right="49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the Private Placement Legend, if applicable pursuant to the provisions of the Indenture]</w:t>
      </w:r>
    </w:p>
    <w:p>
      <w:pPr>
        <w:spacing w:after="0" w:line="225" w:lineRule="exact"/>
        <w:rPr>
          <w:sz w:val="20"/>
          <w:szCs w:val="20"/>
          <w:color w:val="auto"/>
        </w:rPr>
      </w:pPr>
    </w:p>
    <w:p>
      <w:pPr>
        <w:ind w:left="5580" w:right="3200" w:hanging="5565"/>
        <w:spacing w:after="0" w:line="449" w:lineRule="auto"/>
        <w:rPr>
          <w:sz w:val="20"/>
          <w:szCs w:val="20"/>
          <w:color w:val="auto"/>
        </w:rPr>
      </w:pPr>
      <w:r>
        <w:rPr>
          <w:rFonts w:ascii="Arial" w:cs="Arial" w:eastAsia="Arial" w:hAnsi="Arial"/>
          <w:sz w:val="18"/>
          <w:szCs w:val="18"/>
          <w:color w:val="auto"/>
        </w:rPr>
        <w:t>[Insert the Regulation S Temporary Global Note Legend, if applicable pursuant to the provisions of the Indenture] A-1</w:t>
      </w:r>
    </w:p>
    <w:p>
      <w:pPr>
        <w:sectPr>
          <w:pgSz w:w="11900" w:h="16838" w:orient="portrait"/>
          <w:cols w:equalWidth="0" w:num="1">
            <w:col w:w="11420"/>
          </w:cols>
          <w:pgMar w:left="240" w:top="273" w:right="239" w:bottom="1440" w:gutter="0" w:footer="0" w:header="0"/>
        </w:sectPr>
      </w:pPr>
    </w:p>
    <w:bookmarkStart w:id="328" w:name="page329"/>
    <w:bookmarkEnd w:id="328"/>
    <w:p>
      <w:pPr>
        <w:ind w:left="102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CUSIP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10820" w:space="540"/>
            <w:col w:w="60"/>
          </w:cols>
          <w:pgMar w:left="240" w:top="273" w:right="239" w:bottom="1440" w:gutter="0" w:footer="0" w:header="0"/>
        </w:sectPr>
      </w:pPr>
    </w:p>
    <w:p>
      <w:pPr>
        <w:ind w:left="10600"/>
        <w:spacing w:after="0"/>
        <w:rPr>
          <w:sz w:val="20"/>
          <w:szCs w:val="20"/>
          <w:color w:val="auto"/>
        </w:rPr>
      </w:pPr>
      <w:r>
        <w:rPr>
          <w:rFonts w:ascii="Arial" w:cs="Arial" w:eastAsia="Arial" w:hAnsi="Arial"/>
          <w:sz w:val="18"/>
          <w:szCs w:val="18"/>
          <w:color w:val="auto"/>
        </w:rPr>
        <w:t>ISIN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p>
      <w:pPr>
        <w:spacing w:after="0" w:line="200" w:lineRule="exact"/>
        <w:rPr>
          <w:sz w:val="20"/>
          <w:szCs w:val="20"/>
          <w:color w:val="auto"/>
        </w:rPr>
      </w:pPr>
    </w:p>
    <w:p>
      <w:pPr>
        <w:sectPr>
          <w:pgSz w:w="11900" w:h="16838" w:orient="portrait"/>
          <w:cols w:equalWidth="0" w:num="2">
            <w:col w:w="11060" w:space="220"/>
            <w:col w:w="140"/>
          </w:cols>
          <w:pgMar w:left="240" w:top="273" w:right="2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[RULE 144A][REGULATION S] GLOBAL NOTE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6.000% Senior Secured Note due 2022</w:t>
      </w:r>
    </w:p>
    <w:p>
      <w:pPr>
        <w:sectPr>
          <w:pgSz w:w="11900" w:h="16838" w:orient="portrait"/>
          <w:cols w:equalWidth="0" w:num="1">
            <w:col w:w="11420"/>
          </w:cols>
          <w:pgMar w:left="240" w:top="273" w:right="23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9960" w:space="720"/>
            <w:col w:w="140" w:space="540"/>
            <w:col w:w="60"/>
          </w:cols>
          <w:pgMar w:left="240" w:top="273" w:right="239" w:bottom="1440" w:gutter="0" w:footer="0" w:header="0"/>
          <w:type w:val="continuous"/>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FREESCALE SEMICONDUCTOR, INC.</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promises to pay to or registered assigns, the principal sum [set forth on the Schedule of Exchanges of Interests in the Global Note attached hereto] [of United States Dollars] on January 15, 2022.</w:t>
      </w:r>
    </w:p>
    <w:p>
      <w:pPr>
        <w:sectPr>
          <w:pgSz w:w="11900" w:h="16838" w:orient="portrait"/>
          <w:cols w:equalWidth="0" w:num="1">
            <w:col w:w="11420"/>
          </w:cols>
          <w:pgMar w:left="240" w:top="273"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 May 15 and November 15, commencing May 15,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May 1 and November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20" w:hanging="212"/>
        <w:spacing w:after="0"/>
        <w:tabs>
          <w:tab w:leader="none" w:pos="220" w:val="left"/>
        </w:tabs>
        <w:numPr>
          <w:ilvl w:val="0"/>
          <w:numId w:val="519"/>
        </w:numPr>
        <w:rPr>
          <w:rFonts w:ascii="Arial" w:cs="Arial" w:eastAsia="Arial" w:hAnsi="Arial"/>
          <w:sz w:val="15"/>
          <w:szCs w:val="15"/>
          <w:color w:val="auto"/>
        </w:rPr>
      </w:pPr>
      <w:r>
        <w:rPr>
          <w:rFonts w:ascii="Arial" w:cs="Arial" w:eastAsia="Arial" w:hAnsi="Arial"/>
          <w:sz w:val="18"/>
          <w:szCs w:val="18"/>
          <w:color w:val="auto"/>
        </w:rPr>
        <w:t>144A CUSIP: 35687M AZ0</w:t>
      </w:r>
    </w:p>
    <w:p>
      <w:pPr>
        <w:spacing w:after="0" w:line="23"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8"/>
          <w:szCs w:val="18"/>
          <w:color w:val="auto"/>
        </w:rPr>
        <w:t>144A ISIN: US35687MAZ05</w:t>
      </w:r>
    </w:p>
    <w:p>
      <w:pPr>
        <w:spacing w:after="0" w:line="9"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8"/>
          <w:szCs w:val="18"/>
          <w:color w:val="auto"/>
        </w:rPr>
        <w:t>Regulation S CUSIP: U31395 AN3</w:t>
      </w:r>
    </w:p>
    <w:p>
      <w:pPr>
        <w:spacing w:after="0" w:line="9"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8"/>
          <w:szCs w:val="18"/>
          <w:color w:val="auto"/>
        </w:rPr>
        <w:t>Regulation S ISIN: USU31395AN38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420"/>
          </w:cols>
          <w:pgMar w:left="240" w:top="273" w:right="239" w:bottom="1440" w:gutter="0" w:footer="0" w:header="0"/>
          <w:type w:val="continuous"/>
        </w:sectPr>
      </w:pPr>
    </w:p>
    <w:bookmarkStart w:id="329" w:name="page330"/>
    <w:bookmarkEnd w:id="32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HEREOF, the Issuer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 ]</w:t>
      </w:r>
    </w:p>
    <w:p>
      <w:pPr>
        <w:spacing w:after="0" w:line="252" w:lineRule="exact"/>
        <w:rPr>
          <w:sz w:val="20"/>
          <w:szCs w:val="20"/>
          <w:color w:val="auto"/>
        </w:rPr>
      </w:pPr>
    </w:p>
    <w:p>
      <w:pPr>
        <w:jc w:val="right"/>
        <w:ind w:right="319"/>
        <w:spacing w:after="0"/>
        <w:rPr>
          <w:sz w:val="20"/>
          <w:szCs w:val="20"/>
          <w:color w:val="auto"/>
        </w:rPr>
      </w:pPr>
      <w:r>
        <w:rPr>
          <w:rFonts w:ascii="Arial" w:cs="Arial" w:eastAsia="Arial" w:hAnsi="Arial"/>
          <w:sz w:val="18"/>
          <w:szCs w:val="18"/>
          <w:color w:val="auto"/>
        </w:rPr>
        <w:t>FREESCALE SEMICONDUCTOR, INC.</w:t>
      </w:r>
    </w:p>
    <w:p>
      <w:pPr>
        <w:spacing w:after="0" w:line="22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19"/>
          </w:cols>
          <w:pgMar w:left="240" w:top="274" w:right="1440" w:bottom="1440" w:gutter="0" w:footer="0" w:header="0"/>
        </w:sectPr>
      </w:pPr>
    </w:p>
    <w:bookmarkStart w:id="330" w:name="page331"/>
    <w:bookmarkEnd w:id="3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WELLS FARGO BANK, NATIONAL ASSOCIATION, as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65874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2">
            <w:col w:w="5220" w:space="720"/>
            <w:col w:w="4060"/>
          </w:cols>
          <w:pgMar w:left="1160" w:top="274" w:right="739" w:bottom="1440" w:gutter="0" w:footer="0" w:header="0"/>
        </w:sectPr>
      </w:pPr>
    </w:p>
    <w:bookmarkStart w:id="331" w:name="page332"/>
    <w:bookmarkEnd w:id="331"/>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[Back of Note]</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6.000% Senior Secured Note due 2022</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ind w:left="-8" w:firstLine="921"/>
        <w:spacing w:after="0" w:line="289" w:lineRule="auto"/>
        <w:tabs>
          <w:tab w:leader="none" w:pos="1085" w:val="left"/>
        </w:tabs>
        <w:numPr>
          <w:ilvl w:val="1"/>
          <w:numId w:val="520"/>
        </w:numPr>
        <w:rPr>
          <w:rFonts w:ascii="Arial" w:cs="Arial" w:eastAsia="Arial" w:hAnsi="Arial"/>
          <w:sz w:val="16"/>
          <w:szCs w:val="16"/>
          <w:color w:val="auto"/>
        </w:rPr>
      </w:pPr>
      <w:r>
        <w:rPr>
          <w:rFonts w:ascii="Arial" w:cs="Arial" w:eastAsia="Arial" w:hAnsi="Arial"/>
          <w:sz w:val="16"/>
          <w:szCs w:val="16"/>
          <w:color w:val="auto"/>
        </w:rPr>
        <w:t>INTEREST. Freescale Semiconductor, Inc., a Delaware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promises to pay interest on the principal amount of this Note at a rate per annum of 6.000% from November 1, 2013 until maturity. The Issuer will pay interest on this Note semi-annually in arrears on May 15 and November 15 of each year commencing on May 15, 2014, or if any such day is not a Business Day, on the next succeeding Business Day (each, an “</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 Date</w:t>
      </w:r>
      <w:r>
        <w:rPr>
          <w:rFonts w:ascii="Arial" w:cs="Arial" w:eastAsia="Arial" w:hAnsi="Arial"/>
          <w:sz w:val="16"/>
          <w:szCs w:val="16"/>
          <w:color w:val="auto"/>
        </w:rPr>
        <w:t>”). The Issuer will make each interest payment to the Holder of record of this Note on the immediately preceding May 1 and November 1 (each, a “</w:t>
      </w:r>
      <w:r>
        <w:rPr>
          <w:rFonts w:ascii="Arial" w:cs="Arial" w:eastAsia="Arial" w:hAnsi="Arial"/>
          <w:sz w:val="16"/>
          <w:szCs w:val="16"/>
          <w:u w:val="single" w:color="auto"/>
          <w:color w:val="auto"/>
        </w:rPr>
        <w:t>Record Date</w:t>
      </w:r>
      <w:r>
        <w:rPr>
          <w:rFonts w:ascii="Arial" w:cs="Arial" w:eastAsia="Arial" w:hAnsi="Arial"/>
          <w:sz w:val="16"/>
          <w:szCs w:val="16"/>
          <w:color w:val="auto"/>
        </w:rPr>
        <w:t>”). Interest on this Note will accrue from the most recent date to which interest has been paid or, if no interest has been paid, from and including November 1, 2013. The Issuer will pay interest (including post-petition interest in any proceeding under any Bankruptcy Law) on overdue principal and premium, if any, from time to time on demand at the rate borne by this Note; it shall pay interest (including post-petition interest in any proceeding under any Bankruptcy Law) on overdue installments of interest (without regard to any applicable grace periods) from time to time on demand at the rate borne by this Note. Interest will be computed on the basis of a 360-day year comprised of twelve 30-day months.</w:t>
      </w:r>
    </w:p>
    <w:p>
      <w:pPr>
        <w:spacing w:after="0" w:line="166" w:lineRule="exact"/>
        <w:rPr>
          <w:rFonts w:ascii="Arial" w:cs="Arial" w:eastAsia="Arial" w:hAnsi="Arial"/>
          <w:sz w:val="16"/>
          <w:szCs w:val="16"/>
          <w:color w:val="auto"/>
        </w:rPr>
      </w:pPr>
    </w:p>
    <w:p>
      <w:pPr>
        <w:ind w:left="-8" w:right="340" w:firstLine="921"/>
        <w:spacing w:after="0" w:line="286" w:lineRule="auto"/>
        <w:tabs>
          <w:tab w:leader="none" w:pos="1085" w:val="left"/>
        </w:tabs>
        <w:numPr>
          <w:ilvl w:val="1"/>
          <w:numId w:val="520"/>
        </w:numPr>
        <w:rPr>
          <w:rFonts w:ascii="Arial" w:cs="Arial" w:eastAsia="Arial" w:hAnsi="Arial"/>
          <w:sz w:val="16"/>
          <w:szCs w:val="16"/>
          <w:color w:val="auto"/>
        </w:rPr>
      </w:pPr>
      <w:r>
        <w:rPr>
          <w:rFonts w:ascii="Arial" w:cs="Arial" w:eastAsia="Arial" w:hAnsi="Arial"/>
          <w:sz w:val="16"/>
          <w:szCs w:val="16"/>
          <w:color w:val="auto"/>
        </w:rPr>
        <w:t xml:space="preserve">METHOD OF PAYMENT. The Issuer will pay interest on this Note to the Person who is the registered Holder of this Note at the close of business on May 1 or November 1 (whether or not a Business Day), as the case may be, next preceding the Interest Payment Date, even if this Note is canceled after such record date and on or before such Interest Payment Date, except as provided in Section 2.12 of the Indenture with respect to defaulted interest. Cash payment of interest may be made by check mailed to the Holders at their addresses set forth in the Note Register of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8" w:right="40" w:firstLine="8"/>
        <w:spacing w:after="0" w:line="252" w:lineRule="auto"/>
        <w:tabs>
          <w:tab w:leader="none" w:pos="237"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all cash payments of principal, premium, if any, and interest on, Notes represented by Global Notes registered in the name of or held by DTC or its nominee will be made by wire transfer of immediately available funds to the accounts specified by the Holder or Holders thereof and (b) all cash payments of principal, premium, if any, and interest with respect to certificated Notes will be made by wire transfer to a U.S. dollar account maintained by the payee with a bank in the United States if such Holder elects payment by wire transfer by giving written notice to the Trustee or the Paying Agent to such effect designating such account no later than 30 days immediately preceding the relevant due date for payment (or such other date as the Trustee may accept in its discretion). Such payment shall be in such coin or currency of the United States of America as at the time of payment is legal tender for payment of public and private debts.</w:t>
      </w:r>
    </w:p>
    <w:p>
      <w:pPr>
        <w:spacing w:after="0" w:line="193" w:lineRule="exact"/>
        <w:rPr>
          <w:rFonts w:ascii="Arial" w:cs="Arial" w:eastAsia="Arial" w:hAnsi="Arial"/>
          <w:sz w:val="18"/>
          <w:szCs w:val="18"/>
          <w:color w:val="auto"/>
        </w:rPr>
      </w:pPr>
    </w:p>
    <w:p>
      <w:pPr>
        <w:ind w:left="-8" w:right="40" w:firstLine="921"/>
        <w:spacing w:after="0" w:line="264" w:lineRule="auto"/>
        <w:tabs>
          <w:tab w:leader="none" w:pos="1085" w:val="left"/>
        </w:tabs>
        <w:numPr>
          <w:ilvl w:val="1"/>
          <w:numId w:val="521"/>
        </w:numPr>
        <w:rPr>
          <w:rFonts w:ascii="Arial" w:cs="Arial" w:eastAsia="Arial" w:hAnsi="Arial"/>
          <w:sz w:val="18"/>
          <w:szCs w:val="18"/>
          <w:color w:val="auto"/>
        </w:rPr>
      </w:pPr>
      <w:r>
        <w:rPr>
          <w:rFonts w:ascii="Arial" w:cs="Arial" w:eastAsia="Arial" w:hAnsi="Arial"/>
          <w:sz w:val="18"/>
          <w:szCs w:val="18"/>
          <w:color w:val="auto"/>
        </w:rPr>
        <w:t>PAYING AGENT AND REGISTRAR. Initially, Wells Fargo Bank, National Association, the Trustee under the Indenture, will act as Paying Agent and Registrar. The Issuer may change any Paying Agent or Registrar without notice to the Holders. The Issuer or any of its Subsidiaries may act in any such capacity.</w:t>
      </w:r>
    </w:p>
    <w:p>
      <w:pPr>
        <w:spacing w:after="0" w:line="181" w:lineRule="exact"/>
        <w:rPr>
          <w:rFonts w:ascii="Arial" w:cs="Arial" w:eastAsia="Arial" w:hAnsi="Arial"/>
          <w:sz w:val="18"/>
          <w:szCs w:val="18"/>
          <w:color w:val="auto"/>
        </w:rPr>
      </w:pPr>
    </w:p>
    <w:p>
      <w:pPr>
        <w:ind w:left="-8" w:right="40" w:firstLine="921"/>
        <w:spacing w:after="0" w:line="255" w:lineRule="auto"/>
        <w:tabs>
          <w:tab w:leader="none" w:pos="1085" w:val="left"/>
        </w:tabs>
        <w:numPr>
          <w:ilvl w:val="1"/>
          <w:numId w:val="521"/>
        </w:numPr>
        <w:rPr>
          <w:rFonts w:ascii="Arial" w:cs="Arial" w:eastAsia="Arial" w:hAnsi="Arial"/>
          <w:sz w:val="18"/>
          <w:szCs w:val="18"/>
          <w:color w:val="auto"/>
        </w:rPr>
      </w:pPr>
      <w:r>
        <w:rPr>
          <w:rFonts w:ascii="Arial" w:cs="Arial" w:eastAsia="Arial" w:hAnsi="Arial"/>
          <w:sz w:val="18"/>
          <w:szCs w:val="18"/>
          <w:color w:val="auto"/>
        </w:rPr>
        <w:t>INDENTURE. The Issuer issued the Notes under an Amended and Restated Indenture, dated as of [•], 2015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Freescale Semiconductor, Inc., the Guarantors named therein and the Trustee. This Note is one of a duly authorized issue of notes of the Issuer designated as its 6.000% Senior Secured Notes due 2022. The Issuer shall be entitled to issue Additional Notes pursuant to Section 2.01 and 4.09 of the Indenture.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spacing w:after="0" w:line="193" w:lineRule="exact"/>
        <w:rPr>
          <w:rFonts w:ascii="Arial" w:cs="Arial" w:eastAsia="Arial" w:hAnsi="Arial"/>
          <w:sz w:val="18"/>
          <w:szCs w:val="18"/>
          <w:color w:val="auto"/>
        </w:rPr>
      </w:pPr>
    </w:p>
    <w:p>
      <w:pPr>
        <w:ind w:left="-8" w:right="380" w:firstLine="921"/>
        <w:spacing w:after="0" w:line="277" w:lineRule="auto"/>
        <w:tabs>
          <w:tab w:leader="none" w:pos="1085" w:val="left"/>
        </w:tabs>
        <w:numPr>
          <w:ilvl w:val="1"/>
          <w:numId w:val="521"/>
        </w:numPr>
        <w:rPr>
          <w:rFonts w:ascii="Arial" w:cs="Arial" w:eastAsia="Arial" w:hAnsi="Arial"/>
          <w:sz w:val="18"/>
          <w:szCs w:val="18"/>
          <w:color w:val="auto"/>
        </w:rPr>
      </w:pPr>
      <w:r>
        <w:rPr>
          <w:rFonts w:ascii="Arial" w:cs="Arial" w:eastAsia="Arial" w:hAnsi="Arial"/>
          <w:sz w:val="18"/>
          <w:szCs w:val="18"/>
          <w:color w:val="auto"/>
        </w:rPr>
        <w:t>OPTIONAL REDEMPTION. Except as described below under clauses 5(b), 5(c) and 5(d) hereof, the Notes will not be redeemable at the Issuer’s option.</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92"/>
          </w:cols>
          <w:pgMar w:left="248" w:top="274" w:right="259" w:bottom="1440" w:gutter="0" w:footer="0" w:header="0"/>
        </w:sectPr>
      </w:pPr>
    </w:p>
    <w:bookmarkStart w:id="332" w:name="page333"/>
    <w:bookmarkEnd w:id="332"/>
    <w:p>
      <w:pPr>
        <w:ind w:right="40" w:firstLine="8"/>
        <w:spacing w:after="0" w:line="286" w:lineRule="auto"/>
        <w:tabs>
          <w:tab w:leader="none" w:pos="245" w:val="left"/>
        </w:tabs>
        <w:numPr>
          <w:ilvl w:val="0"/>
          <w:numId w:val="5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prior to November 15, 2016, the Issuer may redeem all or a part of the Notes at a redemption price equal to 100% of the principal amount of the Notes redeemed plus the Applicable Premium as of, and accrued and unpaid interest, if any, to the date of redemption (the “</w:t>
      </w:r>
      <w:r>
        <w:rPr>
          <w:rFonts w:ascii="Arial" w:cs="Arial" w:eastAsia="Arial" w:hAnsi="Arial"/>
          <w:sz w:val="17"/>
          <w:szCs w:val="17"/>
          <w:u w:val="single" w:color="auto"/>
          <w:color w:val="auto"/>
        </w:rPr>
        <w:t>Redemption Date</w:t>
      </w:r>
      <w:r>
        <w:rPr>
          <w:rFonts w:ascii="Arial" w:cs="Arial" w:eastAsia="Arial" w:hAnsi="Arial"/>
          <w:sz w:val="17"/>
          <w:szCs w:val="17"/>
          <w:color w:val="auto"/>
        </w:rPr>
        <w:t>”), subject to the rights of Holders of Notes on the relevant Record Date to receive interest due on the relevant Interest Payment Date.</w:t>
      </w:r>
    </w:p>
    <w:p>
      <w:pPr>
        <w:spacing w:after="0" w:line="57" w:lineRule="exact"/>
        <w:rPr>
          <w:rFonts w:ascii="Arial" w:cs="Arial" w:eastAsia="Arial" w:hAnsi="Arial"/>
          <w:sz w:val="17"/>
          <w:szCs w:val="17"/>
          <w:color w:val="auto"/>
        </w:rPr>
      </w:pPr>
    </w:p>
    <w:p>
      <w:pPr>
        <w:ind w:firstLine="8"/>
        <w:spacing w:after="0" w:line="271" w:lineRule="auto"/>
        <w:tabs>
          <w:tab w:leader="none" w:pos="255" w:val="left"/>
        </w:tabs>
        <w:numPr>
          <w:ilvl w:val="0"/>
          <w:numId w:val="522"/>
        </w:numPr>
        <w:rPr>
          <w:rFonts w:ascii="Arial" w:cs="Arial" w:eastAsia="Arial" w:hAnsi="Arial"/>
          <w:sz w:val="17"/>
          <w:szCs w:val="17"/>
          <w:color w:val="auto"/>
        </w:rPr>
      </w:pPr>
      <w:r>
        <w:rPr>
          <w:rFonts w:ascii="Arial" w:cs="Arial" w:eastAsia="Arial" w:hAnsi="Arial"/>
          <w:sz w:val="17"/>
          <w:szCs w:val="17"/>
          <w:color w:val="auto"/>
        </w:rPr>
        <w:t xml:space="preserve">Until November 15, 2016, the Issuer may, at its option, on one or more occasions redeem up to 35% of the aggregate principal amount of Notes at a redemption price equal to 106.000% of the aggregate principal amount thereof, plus accrued and unpaid interest, if any, to the Redemption Date, subject to the right of Holders of record on the relevant Record Date to receive interest due on the relevant Interest Payment Date, with the net cash proceeds received of one or more Equity Offerings;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least 50% of the sum of the aggregate principal amount of Notes originally issued under the Indenture and any Additional Notes issued under the Indenture after the Issue Date remains outstanding immediately after the occurrence of each such redemption;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each such redemption occurs within 180 days of the date of closing of each such Equity Offering. Notice of any redemption upon any Equity Offering may be given prior to the redemption thereof, and any such redemption or notice may, at the Issuer’s discretion, be subject to one or more conditions precedent, including, but not limited to, completion of the related Equity Offering.</w:t>
      </w:r>
    </w:p>
    <w:p>
      <w:pPr>
        <w:spacing w:after="0" w:line="70" w:lineRule="exact"/>
        <w:rPr>
          <w:rFonts w:ascii="Arial" w:cs="Arial" w:eastAsia="Arial" w:hAnsi="Arial"/>
          <w:sz w:val="17"/>
          <w:szCs w:val="17"/>
          <w:color w:val="auto"/>
        </w:rPr>
      </w:pPr>
    </w:p>
    <w:p>
      <w:pPr>
        <w:ind w:right="240" w:firstLine="8"/>
        <w:spacing w:after="0" w:line="259" w:lineRule="auto"/>
        <w:tabs>
          <w:tab w:leader="none" w:pos="245" w:val="left"/>
        </w:tabs>
        <w:numPr>
          <w:ilvl w:val="0"/>
          <w:numId w:val="522"/>
        </w:numPr>
        <w:rPr>
          <w:rFonts w:ascii="Arial" w:cs="Arial" w:eastAsia="Arial" w:hAnsi="Arial"/>
          <w:sz w:val="18"/>
          <w:szCs w:val="18"/>
          <w:color w:val="auto"/>
        </w:rPr>
      </w:pPr>
      <w:r>
        <w:rPr>
          <w:rFonts w:ascii="Arial" w:cs="Arial" w:eastAsia="Arial" w:hAnsi="Arial"/>
          <w:sz w:val="18"/>
          <w:szCs w:val="18"/>
          <w:color w:val="auto"/>
        </w:rPr>
        <w:t>On and after November 15, 2016, the Issuer may redeem the Notes, in whole or in part at the redemption prices (expressed as percentages of principal amount of the Notes to be redeemed) set forth below, plus accrued and unpaid interest, if any, to the Redemption Date, subject to the right of Holders of record on the relevant Record Date to receive interest due on the relevant Interest Payment Date, if redeemed during the twelve-month period beginning on November 15 of each of the years indicated below:</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3840" w:type="dxa"/>
            <w:vAlign w:val="bottom"/>
          </w:tcPr>
          <w:p>
            <w:pPr>
              <w:spacing w:after="0"/>
              <w:rPr>
                <w:sz w:val="14"/>
                <w:szCs w:val="14"/>
                <w:color w:val="auto"/>
              </w:rPr>
            </w:pPr>
          </w:p>
        </w:tc>
        <w:tc>
          <w:tcPr>
            <w:tcW w:w="3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4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2016</w:t>
            </w:r>
          </w:p>
        </w:tc>
        <w:tc>
          <w:tcPr>
            <w:tcW w:w="27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gridSpan w:val="2"/>
            <w:vMerge w:val="continue"/>
            <w:shd w:val="clear" w:color="auto" w:fill="CCEEFF"/>
          </w:tcPr>
          <w:p>
            <w:pPr>
              <w:spacing w:after="0"/>
              <w:rPr>
                <w:sz w:val="17"/>
                <w:szCs w:val="17"/>
                <w:color w:val="auto"/>
              </w:rPr>
            </w:pPr>
          </w:p>
        </w:tc>
        <w:tc>
          <w:tcPr>
            <w:tcW w:w="27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104.500%</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2017</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101.500%</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2019 and thereafter</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Any redemption pursuant to this paragraph 5 shall be made pursuant to the provisions of Sections 3.01 through 3.06 of the Indenture.</w:t>
      </w:r>
    </w:p>
    <w:p>
      <w:pPr>
        <w:spacing w:after="0" w:line="225" w:lineRule="exact"/>
        <w:rPr>
          <w:rFonts w:ascii="Arial" w:cs="Arial" w:eastAsia="Arial" w:hAnsi="Arial"/>
          <w:sz w:val="18"/>
          <w:szCs w:val="18"/>
          <w:color w:val="auto"/>
        </w:rPr>
      </w:pPr>
    </w:p>
    <w:p>
      <w:pPr>
        <w:ind w:left="1100" w:hanging="179"/>
        <w:spacing w:after="0"/>
        <w:tabs>
          <w:tab w:leader="none" w:pos="1100" w:val="left"/>
        </w:tabs>
        <w:numPr>
          <w:ilvl w:val="1"/>
          <w:numId w:val="523"/>
        </w:numPr>
        <w:rPr>
          <w:rFonts w:ascii="Arial" w:cs="Arial" w:eastAsia="Arial" w:hAnsi="Arial"/>
          <w:sz w:val="16"/>
          <w:szCs w:val="16"/>
          <w:color w:val="auto"/>
        </w:rPr>
      </w:pPr>
      <w:r>
        <w:rPr>
          <w:rFonts w:ascii="Arial" w:cs="Arial" w:eastAsia="Arial" w:hAnsi="Arial"/>
          <w:sz w:val="16"/>
          <w:szCs w:val="16"/>
          <w:color w:val="auto"/>
        </w:rPr>
        <w:t>MANDATORY REDEMPTION. The Issuer shall not be required to make mandatory redemption or sinking fund payments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10" w:lineRule="exact"/>
        <w:rPr>
          <w:rFonts w:ascii="Arial" w:cs="Arial" w:eastAsia="Arial" w:hAnsi="Arial"/>
          <w:sz w:val="16"/>
          <w:szCs w:val="16"/>
          <w:color w:val="auto"/>
        </w:rPr>
      </w:pPr>
    </w:p>
    <w:p>
      <w:pPr>
        <w:ind w:right="20" w:firstLine="921"/>
        <w:spacing w:after="0" w:line="276" w:lineRule="auto"/>
        <w:tabs>
          <w:tab w:leader="none" w:pos="1093" w:val="left"/>
        </w:tabs>
        <w:numPr>
          <w:ilvl w:val="1"/>
          <w:numId w:val="523"/>
        </w:numPr>
        <w:rPr>
          <w:rFonts w:ascii="Arial" w:cs="Arial" w:eastAsia="Arial" w:hAnsi="Arial"/>
          <w:sz w:val="17"/>
          <w:szCs w:val="17"/>
          <w:color w:val="auto"/>
        </w:rPr>
      </w:pPr>
      <w:r>
        <w:rPr>
          <w:rFonts w:ascii="Arial" w:cs="Arial" w:eastAsia="Arial" w:hAnsi="Arial"/>
          <w:sz w:val="17"/>
          <w:szCs w:val="17"/>
          <w:color w:val="auto"/>
        </w:rPr>
        <w:t>NOTICE OF REDEMPTION. Subject to Section 3.03 of the Indenture, notice of redemption will be sent at least 30 days but not more than 60 days before the redemption date (except that redemption notices may be sent more than 60 days prior to a redemption date if the notice is issued in connection with Article 8 or Article 12 of the Indenture) to each Holder whose Notes are to be redeemed at its registered address. Notes in denominations larger than $2,000 may be redeemed in part but only in whole multiples of $1,000, unless all of the Notes held by a Holder are to be redeemed. On and after the Redemption Date, interest ceases to accrue on this Note or portions thereof called for redemption.</w:t>
      </w:r>
    </w:p>
    <w:p>
      <w:pPr>
        <w:spacing w:after="0" w:line="172" w:lineRule="exact"/>
        <w:rPr>
          <w:rFonts w:ascii="Arial" w:cs="Arial" w:eastAsia="Arial" w:hAnsi="Arial"/>
          <w:sz w:val="17"/>
          <w:szCs w:val="17"/>
          <w:color w:val="auto"/>
        </w:rPr>
      </w:pPr>
    </w:p>
    <w:p>
      <w:pPr>
        <w:ind w:right="40" w:firstLine="921"/>
        <w:spacing w:after="0" w:line="264" w:lineRule="auto"/>
        <w:tabs>
          <w:tab w:leader="none" w:pos="1093" w:val="left"/>
        </w:tabs>
        <w:numPr>
          <w:ilvl w:val="1"/>
          <w:numId w:val="523"/>
        </w:numPr>
        <w:rPr>
          <w:rFonts w:ascii="Arial" w:cs="Arial" w:eastAsia="Arial" w:hAnsi="Arial"/>
          <w:sz w:val="18"/>
          <w:szCs w:val="18"/>
          <w:color w:val="auto"/>
        </w:rPr>
      </w:pPr>
      <w:r>
        <w:rPr>
          <w:rFonts w:ascii="Arial" w:cs="Arial" w:eastAsia="Arial" w:hAnsi="Arial"/>
          <w:sz w:val="18"/>
          <w:szCs w:val="18"/>
          <w:color w:val="auto"/>
        </w:rPr>
        <w:t>OFFERS TO REPURCHASE. Upon the occurrence of a Change of Control, the Issuer shall make a Change of Control Offer in accordance with Section 4.14 of the Indenture. In connection with certain Asset Sales, the Issuer shall make an Asset Sale Offer as and when provided in accordance with Section 4.10 of the Indenture.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3" w:right="239" w:bottom="1440" w:gutter="0" w:footer="0" w:header="0"/>
        </w:sectPr>
      </w:pPr>
    </w:p>
    <w:bookmarkStart w:id="333" w:name="page334"/>
    <w:bookmarkEnd w:id="333"/>
    <w:p>
      <w:pPr>
        <w:ind w:left="-60" w:right="80" w:firstLine="921"/>
        <w:spacing w:after="0" w:line="273" w:lineRule="auto"/>
        <w:tabs>
          <w:tab w:leader="none" w:pos="1033" w:val="left"/>
        </w:tabs>
        <w:numPr>
          <w:ilvl w:val="0"/>
          <w:numId w:val="5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DENOMINATIONS, TRANSFER, EXCHANGE. The Notes are in registered form without coupons in denominations of $2,000 and integral multiples of $1,000 thereafter.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w:t>
      </w:r>
    </w:p>
    <w:p>
      <w:pPr>
        <w:spacing w:after="0" w:line="178" w:lineRule="exact"/>
        <w:rPr>
          <w:rFonts w:ascii="Arial" w:cs="Arial" w:eastAsia="Arial" w:hAnsi="Arial"/>
          <w:sz w:val="17"/>
          <w:szCs w:val="17"/>
          <w:color w:val="auto"/>
        </w:rPr>
      </w:pPr>
    </w:p>
    <w:p>
      <w:pPr>
        <w:ind w:left="1140" w:hanging="279"/>
        <w:spacing w:after="0"/>
        <w:tabs>
          <w:tab w:leader="none" w:pos="114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PERSONS DEEMED OWNERS. The registered Holder of a Note may be treated as its owner for all purposes.</w:t>
      </w:r>
    </w:p>
    <w:p>
      <w:pPr>
        <w:spacing w:after="0" w:line="225" w:lineRule="exact"/>
        <w:rPr>
          <w:rFonts w:ascii="Arial" w:cs="Arial" w:eastAsia="Arial" w:hAnsi="Arial"/>
          <w:sz w:val="18"/>
          <w:szCs w:val="18"/>
          <w:color w:val="auto"/>
        </w:rPr>
      </w:pPr>
    </w:p>
    <w:p>
      <w:pPr>
        <w:ind w:left="-60" w:right="40" w:firstLine="921"/>
        <w:spacing w:after="0" w:line="277" w:lineRule="auto"/>
        <w:tabs>
          <w:tab w:leader="none" w:pos="1116"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AMENDMENT, SUPPLEMENT AND WAIVER. The Indenture, the Guarantees or the Notes may be amended or supplemented as provided in the Indenture.</w:t>
      </w:r>
    </w:p>
    <w:p>
      <w:pPr>
        <w:spacing w:after="0" w:line="170" w:lineRule="exact"/>
        <w:rPr>
          <w:rFonts w:ascii="Arial" w:cs="Arial" w:eastAsia="Arial" w:hAnsi="Arial"/>
          <w:sz w:val="18"/>
          <w:szCs w:val="18"/>
          <w:color w:val="auto"/>
        </w:rPr>
      </w:pPr>
    </w:p>
    <w:p>
      <w:pPr>
        <w:ind w:left="-60" w:firstLine="921"/>
        <w:spacing w:after="0" w:line="287" w:lineRule="auto"/>
        <w:tabs>
          <w:tab w:leader="none" w:pos="1123" w:val="left"/>
        </w:tabs>
        <w:numPr>
          <w:ilvl w:val="0"/>
          <w:numId w:val="524"/>
        </w:numPr>
        <w:rPr>
          <w:rFonts w:ascii="Arial" w:cs="Arial" w:eastAsia="Arial" w:hAnsi="Arial"/>
          <w:sz w:val="16"/>
          <w:szCs w:val="16"/>
          <w:color w:val="auto"/>
        </w:rPr>
      </w:pPr>
      <w:r>
        <w:rPr>
          <w:rFonts w:ascii="Arial" w:cs="Arial" w:eastAsia="Arial" w:hAnsi="Arial"/>
          <w:sz w:val="16"/>
          <w:szCs w:val="16"/>
          <w:color w:val="auto"/>
        </w:rPr>
        <w:t>DEFAULTS AND REMEDIES. The Events of Default relating to the Notes are defined in Section 6.01 of the Indenture. If any Event of Default occurs and is continuing, the Trustee or the Holders of at least 30% in principal amount of the then outstanding Notes may declare the principal, premium, if any, interest and any other monetary obligations on all the then outstanding Notes to be due and payable immediately. Notwithstanding the foregoing, in the case of an Event of Default arising from certain events of bankruptcy or insolvency, all outstanding Notes will become due and payable immediately without further action or notice. Holders may not enforce the Indenture, the Notes or the Guarantees except as provided in the Indenture. Subject to certain limitations, Holders of a majority in aggregate principal amount of the then outstanding Notes may direct the Trustee in its exercise of any trust or power. The Trustee may withhold from Holders notice of any continuing Default (except a Default relating to the payment of principal, premium, if any, or interest) if it determines that withholding notice is in their interest. The Holders of a majority in aggregate principal amount of the Notes then outstanding by notice to the Trustee may on behalf of the Holders of all of the Notes waive any existing Default or and its consequences under the Indenture except a continuing Default in payment of the principal of, premium, if any, or interest on, any of the Notes held by a non-consenting Holder. Holdings III is required to deliver to the Trustee annually a statement regarding compliance with the Indenture, and Holdings III is required within five (5) Business Days after becoming aware of any Default, to deliver to the Trustee a statement specifying such Default and what action the Issuer proposes to take with respect thereto.</w:t>
      </w:r>
    </w:p>
    <w:p>
      <w:pPr>
        <w:spacing w:after="0" w:line="168" w:lineRule="exact"/>
        <w:rPr>
          <w:rFonts w:ascii="Arial" w:cs="Arial" w:eastAsia="Arial" w:hAnsi="Arial"/>
          <w:sz w:val="16"/>
          <w:szCs w:val="16"/>
          <w:color w:val="auto"/>
        </w:rPr>
      </w:pPr>
    </w:p>
    <w:p>
      <w:pPr>
        <w:ind w:left="-60" w:right="520" w:firstLine="921"/>
        <w:spacing w:after="0" w:line="277" w:lineRule="auto"/>
        <w:tabs>
          <w:tab w:leader="none" w:pos="1123"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AUTHENTICATION. This Note shall not be entitled to any benefit under the Indenture or be valid or obligatory for any purpose until authenticated by the manual signature of the Trustee.</w:t>
      </w:r>
    </w:p>
    <w:p>
      <w:pPr>
        <w:spacing w:after="0" w:line="170" w:lineRule="exact"/>
        <w:rPr>
          <w:rFonts w:ascii="Arial" w:cs="Arial" w:eastAsia="Arial" w:hAnsi="Arial"/>
          <w:sz w:val="18"/>
          <w:szCs w:val="18"/>
          <w:color w:val="auto"/>
        </w:rPr>
      </w:pPr>
    </w:p>
    <w:p>
      <w:pPr>
        <w:ind w:left="-60" w:right="880" w:firstLine="921"/>
        <w:spacing w:after="0" w:line="277" w:lineRule="auto"/>
        <w:tabs>
          <w:tab w:leader="none" w:pos="1123" w:val="left"/>
        </w:tabs>
        <w:numPr>
          <w:ilvl w:val="0"/>
          <w:numId w:val="524"/>
        </w:numPr>
        <w:rPr>
          <w:rFonts w:ascii="Arial" w:cs="Arial" w:eastAsia="Arial" w:hAnsi="Arial"/>
          <w:sz w:val="18"/>
          <w:szCs w:val="18"/>
          <w:color w:val="auto"/>
        </w:rPr>
      </w:pPr>
      <w:r>
        <w:rPr>
          <w:rFonts w:ascii="Arial" w:cs="Arial" w:eastAsia="Arial" w:hAnsi="Arial"/>
          <w:sz w:val="18"/>
          <w:szCs w:val="18"/>
          <w:color w:val="auto"/>
        </w:rPr>
        <w:t>GOVERNING LAW. THE LAWS OF THE STATE OF NEW YORK SHALL GOVERN AND BE USED TO CONSTRUE THE INDENTURE, THE NOTES, THE GUARANTEES AND THE COLLATERAL DOCUMENTS RELATING TO THE NOTES.</w:t>
      </w:r>
    </w:p>
    <w:p>
      <w:pPr>
        <w:spacing w:after="0" w:line="170" w:lineRule="exact"/>
        <w:rPr>
          <w:rFonts w:ascii="Arial" w:cs="Arial" w:eastAsia="Arial" w:hAnsi="Arial"/>
          <w:sz w:val="18"/>
          <w:szCs w:val="18"/>
          <w:color w:val="auto"/>
        </w:rPr>
      </w:pPr>
    </w:p>
    <w:p>
      <w:pPr>
        <w:ind w:left="-60" w:right="160" w:firstLine="921"/>
        <w:spacing w:after="0" w:line="279" w:lineRule="auto"/>
        <w:tabs>
          <w:tab w:leader="none" w:pos="1123" w:val="left"/>
        </w:tabs>
        <w:numPr>
          <w:ilvl w:val="0"/>
          <w:numId w:val="524"/>
        </w:numPr>
        <w:rPr>
          <w:rFonts w:ascii="Arial" w:cs="Arial" w:eastAsia="Arial" w:hAnsi="Arial"/>
          <w:sz w:val="17"/>
          <w:szCs w:val="17"/>
          <w:color w:val="auto"/>
        </w:rPr>
      </w:pPr>
      <w:r>
        <w:rPr>
          <w:rFonts w:ascii="Arial" w:cs="Arial" w:eastAsia="Arial" w:hAnsi="Arial"/>
          <w:sz w:val="17"/>
          <w:szCs w:val="17"/>
          <w:color w:val="auto"/>
        </w:rPr>
        <w:t>CUSIP AND ISIN NUMBERS. Pursuant to a recommendation promulgated by the Committee on Uniform Security Identification Procedures, the Issuer has caused CUSIP and ISIN numbers to be printed on the Notes and the Trustee may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20"/>
          </w:cols>
          <w:pgMar w:left="300" w:top="273" w:right="279" w:bottom="1440" w:gutter="0" w:footer="0" w:header="0"/>
        </w:sectPr>
      </w:pPr>
    </w:p>
    <w:bookmarkStart w:id="334" w:name="page335"/>
    <w:bookmarkEnd w:id="334"/>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will furnish to any Holder upon written request and without charge a copy of the Indenture. Requests may be made to the Issuer at the following address: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Freescale Semiconductor,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6501 William Cannon Drive West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Austin, Texas 78735 Fax: (512) 996-6853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ASSIGNMENT FORM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60"/>
          </w:cols>
          <w:pgMar w:left="240" w:top="274" w:right="299" w:bottom="1440" w:gutter="0" w:footer="0" w:header="0"/>
        </w:sectPr>
      </w:pPr>
    </w:p>
    <w:bookmarkStart w:id="335" w:name="page336"/>
    <w:bookmarkEnd w:id="335"/>
    <w:p>
      <w:pPr>
        <w:ind w:left="4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1988820</wp:posOffset>
            </wp:positionH>
            <wp:positionV relativeFrom="paragraph">
              <wp:posOffset>-10160</wp:posOffset>
            </wp:positionV>
            <wp:extent cx="337185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71850" cy="8890"/>
                    </a:xfrm>
                    <a:prstGeom prst="rect">
                      <a:avLst/>
                    </a:prstGeom>
                    <a:noFill/>
                  </pic:spPr>
                </pic:pic>
              </a:graphicData>
            </a:graphic>
          </wp:anchor>
        </w:drawing>
      </w:r>
    </w:p>
    <w:p>
      <w:pPr>
        <w:spacing w:after="0" w:line="30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(Insert assignee’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-10160</wp:posOffset>
            </wp:positionV>
            <wp:extent cx="431482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31482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Issuer. The agent may substitute another to act for him.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3429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14605</wp:posOffset>
            </wp:positionV>
            <wp:extent cx="199834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(Sign exactly as your name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appears on the face of this Note)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-10160</wp:posOffset>
            </wp:positionV>
            <wp:extent cx="5715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11" w:lineRule="exact"/>
        <w:rPr>
          <w:sz w:val="20"/>
          <w:szCs w:val="20"/>
          <w:color w:val="auto"/>
        </w:rPr>
      </w:pPr>
    </w:p>
    <w:p>
      <w:pPr>
        <w:ind w:left="5580" w:right="1460" w:hanging="5572"/>
        <w:spacing w:after="0" w:line="449" w:lineRule="auto"/>
        <w:tabs>
          <w:tab w:leader="none" w:pos="23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0620"/>
          </w:cols>
          <w:pgMar w:left="240" w:top="274" w:right="1039" w:bottom="1440"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OF HOLDER TO ELECT PURCHASE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you want to elect to have this Note purchased by the Issuer pursuant to Section 4.10 or 4.14 of the Indenture, check the appropriate box below:</w:t>
      </w:r>
    </w:p>
    <w:p>
      <w:pPr>
        <w:spacing w:after="0" w:line="248" w:lineRule="exact"/>
        <w:rPr>
          <w:sz w:val="20"/>
          <w:szCs w:val="20"/>
          <w:color w:val="auto"/>
        </w:rPr>
      </w:pPr>
    </w:p>
    <w:p>
      <w:pPr>
        <w:ind w:left="4860" w:hanging="458"/>
        <w:spacing w:after="0"/>
        <w:tabs>
          <w:tab w:leader="none" w:pos="48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 Section 4.10 [ ] Section 4.14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want to elect to have only part of this Note purchased by the Issuer pursuant to Section 4.10 or Section 4.14 of the Indenture, state the amount you elect to have purchased:</w:t>
      </w:r>
    </w:p>
    <w:p>
      <w:pPr>
        <w:spacing w:after="0" w:line="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-10160</wp:posOffset>
            </wp:positionV>
            <wp:extent cx="571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-10160</wp:posOffset>
            </wp:positionV>
            <wp:extent cx="3429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14605</wp:posOffset>
            </wp:positionV>
            <wp:extent cx="199834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(Sign exactly as your name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appears on the face of this Note)</w:t>
      </w:r>
    </w:p>
    <w:p>
      <w:pPr>
        <w:spacing w:after="0" w:line="1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14605</wp:posOffset>
            </wp:positionV>
            <wp:extent cx="16205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-10160</wp:posOffset>
            </wp:positionV>
            <wp:extent cx="5715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11" w:lineRule="exact"/>
        <w:rPr>
          <w:sz w:val="20"/>
          <w:szCs w:val="20"/>
          <w:color w:val="auto"/>
        </w:rPr>
      </w:pPr>
    </w:p>
    <w:p>
      <w:pPr>
        <w:ind w:left="5520" w:right="2240" w:hanging="5512"/>
        <w:spacing w:after="0" w:line="449" w:lineRule="auto"/>
        <w:tabs>
          <w:tab w:leader="none" w:pos="215" w:val="left"/>
        </w:tabs>
        <w:numPr>
          <w:ilvl w:val="0"/>
          <w:numId w:val="527"/>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ectPr>
          <w:pgSz w:w="11900" w:h="16838" w:orient="portrait"/>
          <w:cols w:equalWidth="0" w:num="1">
            <w:col w:w="11400"/>
          </w:cols>
          <w:pgMar w:left="240" w:top="274" w:right="25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INTERESTS IN THE GLOBAL NOTE*</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Principal Amount of</w:t>
            </w:r>
          </w:p>
        </w:tc>
        <w:tc>
          <w:tcPr>
            <w:tcW w:w="2160" w:type="dxa"/>
            <w:vAlign w:val="bottom"/>
          </w:tcPr>
          <w:p>
            <w:pPr>
              <w:spacing w:after="0"/>
              <w:rPr>
                <w:sz w:val="14"/>
                <w:szCs w:val="14"/>
                <w:color w:val="auto"/>
              </w:rPr>
            </w:pPr>
          </w:p>
        </w:tc>
      </w:tr>
      <w:tr>
        <w:trPr>
          <w:trHeight w:val="149"/>
        </w:trPr>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Amount of increase in</w:t>
            </w: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this Global Note</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Signature of</w:t>
            </w:r>
          </w:p>
        </w:tc>
      </w:tr>
      <w:tr>
        <w:trPr>
          <w:trHeight w:val="149"/>
        </w:trPr>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Amount of decrease in</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Principal Amount of</w:t>
            </w: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following such</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5"/>
              </w:rPr>
              <w:t>authorized officer of</w:t>
            </w:r>
          </w:p>
        </w:tc>
      </w:tr>
      <w:tr>
        <w:trPr>
          <w:trHeight w:val="174"/>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Date of Exchange</w:t>
            </w:r>
          </w:p>
        </w:tc>
        <w:tc>
          <w:tcPr>
            <w:tcW w:w="116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Principal Amount</w:t>
            </w:r>
          </w:p>
        </w:tc>
        <w:tc>
          <w:tcPr>
            <w:tcW w:w="10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this Global Note</w:t>
            </w:r>
          </w:p>
        </w:tc>
        <w:tc>
          <w:tcPr>
            <w:tcW w:w="1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decrease or increase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Trustee or 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89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This schedule should be included only if the Note is issued in global form.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3" w:right="2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Freescale Semiconductor,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6501 William Cannon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Austin, Texas 78735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512-996-6853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750 N. Saint Paul Place, Suite 1750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(214) 756-7401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Trust, Municipal and Escrow Services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6.000% Senior Secured Notes due 2022</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Reference is hereby made to the Amended and Restated Indenture, dated as of [•], 2015 (the “</w:t>
      </w:r>
      <w:r>
        <w:rPr>
          <w:rFonts w:ascii="Arial" w:cs="Arial" w:eastAsia="Arial" w:hAnsi="Arial"/>
          <w:sz w:val="16"/>
          <w:szCs w:val="16"/>
          <w:u w:val="single" w:color="auto"/>
          <w:color w:val="auto"/>
        </w:rPr>
        <w:t>Indenture</w:t>
      </w:r>
      <w:r>
        <w:rPr>
          <w:rFonts w:ascii="Arial" w:cs="Arial" w:eastAsia="Arial" w:hAnsi="Arial"/>
          <w:sz w:val="16"/>
          <w:szCs w:val="16"/>
          <w:color w:val="auto"/>
        </w:rPr>
        <w:t>”), among Freescale Semiconductor, Inc., the Guarantors named therein and the Trustee. Capitalized terms used but not defined herein shall have the meanings given to them in the Indenture.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Transferor</w:t>
      </w:r>
      <w:r>
        <w:rPr>
          <w:rFonts w:ascii="Arial" w:cs="Arial" w:eastAsia="Arial" w:hAnsi="Arial"/>
          <w:sz w:val="16"/>
          <w:szCs w:val="16"/>
          <w:color w:val="auto"/>
        </w:rPr>
        <w:t>”) owns and proposes to transfer the Note[s] or interest in such Note[s] specified in Annex A hereto, in the principal amount of $</w:t>
      </w:r>
    </w:p>
    <w:p>
      <w:pPr>
        <w:spacing w:after="0" w:line="46" w:lineRule="exact"/>
        <w:rPr>
          <w:sz w:val="20"/>
          <w:szCs w:val="20"/>
          <w:color w:val="auto"/>
        </w:rPr>
      </w:pPr>
    </w:p>
    <w:p>
      <w:pPr>
        <w:ind w:left="540"/>
        <w:spacing w:after="0"/>
        <w:tabs>
          <w:tab w:leader="none" w:pos="4480" w:val="left"/>
        </w:tabs>
        <w:rPr>
          <w:sz w:val="20"/>
          <w:szCs w:val="20"/>
          <w:color w:val="auto"/>
        </w:rPr>
      </w:pPr>
      <w:r>
        <w:rPr>
          <w:rFonts w:ascii="Arial" w:cs="Arial" w:eastAsia="Arial" w:hAnsi="Arial"/>
          <w:sz w:val="18"/>
          <w:szCs w:val="18"/>
          <w:color w:val="auto"/>
        </w:rPr>
        <w:t>in such Note[s] or interests (the “</w:t>
      </w:r>
      <w:r>
        <w:rPr>
          <w:rFonts w:ascii="Arial" w:cs="Arial" w:eastAsia="Arial" w:hAnsi="Arial"/>
          <w:sz w:val="18"/>
          <w:szCs w:val="18"/>
          <w:u w:val="single" w:color="auto"/>
          <w:color w:val="auto"/>
        </w:rPr>
        <w:t>Transfer</w:t>
      </w:r>
      <w:r>
        <w:rPr>
          <w:rFonts w:ascii="Arial" w:cs="Arial" w:eastAsia="Arial" w:hAnsi="Arial"/>
          <w:sz w:val="18"/>
          <w:szCs w:val="18"/>
          <w:color w:val="auto"/>
        </w:rPr>
        <w:t>”), to</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Transferee</w:t>
      </w:r>
      <w:r>
        <w:rPr>
          <w:rFonts w:ascii="Arial" w:cs="Arial" w:eastAsia="Arial" w:hAnsi="Arial"/>
          <w:sz w:val="16"/>
          <w:szCs w:val="16"/>
          <w:color w:val="auto"/>
        </w:rPr>
        <w:t>”), as further specified in Annex A hereto. In connection with the Transfer,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Transferor hereby certifies that: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225" w:lineRule="exact"/>
        <w:rPr>
          <w:sz w:val="20"/>
          <w:szCs w:val="20"/>
          <w:color w:val="auto"/>
        </w:rPr>
      </w:pPr>
    </w:p>
    <w:p>
      <w:pPr>
        <w:ind w:right="60" w:firstLine="464"/>
        <w:spacing w:after="0" w:line="272" w:lineRule="auto"/>
        <w:tabs>
          <w:tab w:leader="none" w:pos="636" w:val="left"/>
        </w:tabs>
        <w:numPr>
          <w:ilvl w:val="0"/>
          <w:numId w:val="528"/>
        </w:numPr>
        <w:rPr>
          <w:rFonts w:ascii="Arial" w:cs="Arial" w:eastAsia="Arial" w:hAnsi="Arial"/>
          <w:sz w:val="17"/>
          <w:szCs w:val="17"/>
          <w:color w:val="auto"/>
        </w:rPr>
      </w:pPr>
      <w:r>
        <w:rPr>
          <w:rFonts w:ascii="Arial" w:cs="Arial" w:eastAsia="Arial" w:hAnsi="Arial"/>
          <w:sz w:val="17"/>
          <w:szCs w:val="17"/>
          <w:color w:val="auto"/>
        </w:rPr>
        <w:t>[ ] CHECK IF TRANSFEREE WILL TAKE DELIVERY OF A BENEFICIAL INTEREST IN THE RELEVANT 144A GLOBAL NOTE OR RELEVANT DEFINITIVE NOTE PURSUANT TO RULE 144A. The Transfer is being effected pursuant to and in accordance with Rule 144A under the United States Securities Act of 1933, as amended (the “</w:t>
      </w:r>
      <w:r>
        <w:rPr>
          <w:rFonts w:ascii="Arial" w:cs="Arial" w:eastAsia="Arial" w:hAnsi="Arial"/>
          <w:sz w:val="17"/>
          <w:szCs w:val="17"/>
          <w:u w:val="single" w:color="auto"/>
          <w:color w:val="auto"/>
        </w:rPr>
        <w:t>Securities</w:t>
      </w:r>
      <w:r>
        <w:rPr>
          <w:rFonts w:ascii="Arial" w:cs="Arial" w:eastAsia="Arial" w:hAnsi="Arial"/>
          <w:sz w:val="17"/>
          <w:szCs w:val="17"/>
          <w:color w:val="auto"/>
        </w:rPr>
        <w:t xml:space="preserve"> Act”),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w:t>
      </w:r>
    </w:p>
    <w:p>
      <w:pPr>
        <w:spacing w:after="0" w:line="177" w:lineRule="exact"/>
        <w:rPr>
          <w:rFonts w:ascii="Arial" w:cs="Arial" w:eastAsia="Arial" w:hAnsi="Arial"/>
          <w:sz w:val="17"/>
          <w:szCs w:val="17"/>
          <w:color w:val="auto"/>
        </w:rPr>
      </w:pPr>
    </w:p>
    <w:p>
      <w:pPr>
        <w:ind w:right="60" w:firstLine="464"/>
        <w:spacing w:after="0" w:line="289" w:lineRule="auto"/>
        <w:tabs>
          <w:tab w:leader="none" w:pos="636" w:val="left"/>
        </w:tabs>
        <w:numPr>
          <w:ilvl w:val="0"/>
          <w:numId w:val="528"/>
        </w:numPr>
        <w:rPr>
          <w:rFonts w:ascii="Arial" w:cs="Arial" w:eastAsia="Arial" w:hAnsi="Arial"/>
          <w:sz w:val="16"/>
          <w:szCs w:val="16"/>
          <w:color w:val="auto"/>
        </w:rPr>
      </w:pPr>
      <w:r>
        <w:rPr>
          <w:rFonts w:ascii="Arial" w:cs="Arial" w:eastAsia="Arial" w:hAnsi="Arial"/>
          <w:sz w:val="16"/>
          <w:szCs w:val="16"/>
          <w:color w:val="auto"/>
        </w:rPr>
        <w:t>[ ] CHECK IF TRANSFEREE WILL TAKE DELIVERY OF A BENEFICIAL INTEREST IN THE RELEVANT REGULATION S GLOBAL NOTE OR RELEVANT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3" w:right="239" w:bottom="1440" w:gutter="0" w:footer="0" w:header="0"/>
        </w:sectPr>
      </w:pPr>
    </w:p>
    <w:bookmarkStart w:id="339" w:name="page340"/>
    <w:bookmarkEnd w:id="339"/>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for the account or benefit of a U.S. Person (other than the Initial Purchasers). Upon consummation of the proposed transfer in accordance with the terms of the Indenture, the transferred beneficial interest or Definitive Note will be subject to the restrictions on Transfer enumerated in the Indenture and the Securities Act.</w:t>
      </w:r>
    </w:p>
    <w:p>
      <w:pPr>
        <w:spacing w:after="0" w:line="181" w:lineRule="exact"/>
        <w:rPr>
          <w:sz w:val="20"/>
          <w:szCs w:val="20"/>
          <w:color w:val="auto"/>
        </w:rPr>
      </w:pPr>
    </w:p>
    <w:p>
      <w:pPr>
        <w:ind w:right="40" w:firstLine="464"/>
        <w:spacing w:after="0" w:line="257" w:lineRule="auto"/>
        <w:tabs>
          <w:tab w:leader="none" w:pos="636"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 CHECK AND COMPLETE IF TRANSFEREE WILL TAKE DELIVERY OF A BENEFICIAL INTEREST IN THE RELEVANT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80" w:lineRule="exact"/>
        <w:rPr>
          <w:sz w:val="20"/>
          <w:szCs w:val="20"/>
          <w:color w:val="auto"/>
        </w:rPr>
      </w:pPr>
    </w:p>
    <w:p>
      <w:pPr>
        <w:ind w:left="700" w:hanging="236"/>
        <w:spacing w:after="0"/>
        <w:tabs>
          <w:tab w:leader="none" w:pos="7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 such Transfer is being effected pursuant to and in accordance with Rule 144 under the Securities Act;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 such Transfer is being effected to the Issuer or a subsidiary thereof;</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right="200" w:firstLine="464"/>
        <w:spacing w:after="0" w:line="277" w:lineRule="auto"/>
        <w:tabs>
          <w:tab w:leader="none" w:pos="701" w:val="left"/>
        </w:tabs>
        <w:numPr>
          <w:ilvl w:val="0"/>
          <w:numId w:val="531"/>
        </w:numPr>
        <w:rPr>
          <w:rFonts w:ascii="Arial" w:cs="Arial" w:eastAsia="Arial" w:hAnsi="Arial"/>
          <w:sz w:val="18"/>
          <w:szCs w:val="18"/>
          <w:color w:val="auto"/>
        </w:rPr>
      </w:pPr>
      <w:r>
        <w:rPr>
          <w:rFonts w:ascii="Arial" w:cs="Arial" w:eastAsia="Arial" w:hAnsi="Arial"/>
          <w:sz w:val="18"/>
          <w:szCs w:val="18"/>
          <w:color w:val="auto"/>
        </w:rPr>
        <w:t>[ ] such Transfer is being effected pursuant to an effective registration statement under the Securities Act and in compliance with the prospectus delivery requirements of the Securities Act.</w:t>
      </w:r>
    </w:p>
    <w:p>
      <w:pPr>
        <w:spacing w:after="0" w:line="170" w:lineRule="exact"/>
        <w:rPr>
          <w:sz w:val="20"/>
          <w:szCs w:val="20"/>
          <w:color w:val="auto"/>
        </w:rPr>
      </w:pPr>
    </w:p>
    <w:p>
      <w:pPr>
        <w:ind w:right="40" w:firstLine="464"/>
        <w:spacing w:after="0" w:line="277" w:lineRule="auto"/>
        <w:tabs>
          <w:tab w:leader="none" w:pos="63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 CHECK IF TRANSFEREE WILL TAKE DELIVERY OF A BENEFICIAL INTEREST IN AN UNRESTRICTED GLOBAL NOTE OR OF AN UNRESTRICTED DEFINITIVE NOTE.</w:t>
      </w:r>
    </w:p>
    <w:p>
      <w:pPr>
        <w:spacing w:after="0" w:line="62" w:lineRule="exact"/>
        <w:rPr>
          <w:sz w:val="20"/>
          <w:szCs w:val="20"/>
          <w:color w:val="auto"/>
        </w:rPr>
      </w:pPr>
    </w:p>
    <w:p>
      <w:pPr>
        <w:ind w:right="60" w:firstLine="464"/>
        <w:spacing w:after="0" w:line="255" w:lineRule="auto"/>
        <w:tabs>
          <w:tab w:leader="none" w:pos="701" w:val="left"/>
        </w:tabs>
        <w:numPr>
          <w:ilvl w:val="0"/>
          <w:numId w:val="533"/>
        </w:numPr>
        <w:rPr>
          <w:rFonts w:ascii="Arial" w:cs="Arial" w:eastAsia="Arial" w:hAnsi="Arial"/>
          <w:sz w:val="18"/>
          <w:szCs w:val="18"/>
          <w:color w:val="auto"/>
        </w:rPr>
      </w:pPr>
      <w:r>
        <w:rPr>
          <w:rFonts w:ascii="Arial" w:cs="Arial" w:eastAsia="Arial" w:hAnsi="Arial"/>
          <w:sz w:val="18"/>
          <w:szCs w:val="18"/>
          <w:color w:val="auto"/>
        </w:rPr>
        <w:t>[ ]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85" w:lineRule="exact"/>
        <w:rPr>
          <w:rFonts w:ascii="Arial" w:cs="Arial" w:eastAsia="Arial" w:hAnsi="Arial"/>
          <w:sz w:val="18"/>
          <w:szCs w:val="18"/>
          <w:color w:val="auto"/>
        </w:rPr>
      </w:pPr>
    </w:p>
    <w:p>
      <w:pPr>
        <w:ind w:firstLine="464"/>
        <w:spacing w:after="0" w:line="273" w:lineRule="auto"/>
        <w:tabs>
          <w:tab w:leader="none" w:pos="711" w:val="left"/>
        </w:tabs>
        <w:numPr>
          <w:ilvl w:val="0"/>
          <w:numId w:val="533"/>
        </w:numPr>
        <w:rPr>
          <w:rFonts w:ascii="Arial" w:cs="Arial" w:eastAsia="Arial" w:hAnsi="Arial"/>
          <w:sz w:val="17"/>
          <w:szCs w:val="17"/>
          <w:color w:val="auto"/>
        </w:rPr>
      </w:pPr>
      <w:r>
        <w:rPr>
          <w:rFonts w:ascii="Arial" w:cs="Arial" w:eastAsia="Arial" w:hAnsi="Arial"/>
          <w:sz w:val="17"/>
          <w:szCs w:val="17"/>
          <w:color w:val="auto"/>
        </w:rPr>
        <w:t>[ ] CHECK IF TRANSFER IS PURSUANT TO REGULATION S.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70" w:lineRule="exact"/>
        <w:rPr>
          <w:rFonts w:ascii="Arial" w:cs="Arial" w:eastAsia="Arial" w:hAnsi="Arial"/>
          <w:sz w:val="17"/>
          <w:szCs w:val="17"/>
          <w:color w:val="auto"/>
        </w:rPr>
      </w:pPr>
    </w:p>
    <w:p>
      <w:pPr>
        <w:jc w:val="both"/>
        <w:ind w:right="40" w:firstLine="464"/>
        <w:spacing w:after="0" w:line="259" w:lineRule="auto"/>
        <w:tabs>
          <w:tab w:leader="none" w:pos="701" w:val="left"/>
        </w:tabs>
        <w:numPr>
          <w:ilvl w:val="0"/>
          <w:numId w:val="533"/>
        </w:numPr>
        <w:rPr>
          <w:rFonts w:ascii="Arial" w:cs="Arial" w:eastAsia="Arial" w:hAnsi="Arial"/>
          <w:sz w:val="18"/>
          <w:szCs w:val="18"/>
          <w:color w:val="auto"/>
        </w:rPr>
      </w:pPr>
      <w:r>
        <w:rPr>
          <w:rFonts w:ascii="Arial" w:cs="Arial" w:eastAsia="Arial" w:hAnsi="Arial"/>
          <w:sz w:val="18"/>
          <w:szCs w:val="18"/>
          <w:color w:val="auto"/>
        </w:rPr>
        <w:t>[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274" w:right="279" w:bottom="1440" w:gutter="0" w:footer="0" w:header="0"/>
        </w:sectPr>
      </w:pPr>
    </w:p>
    <w:bookmarkStart w:id="340" w:name="page341"/>
    <w:bookmarkEnd w:id="34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80"/>
          </w:cols>
          <w:pgMar w:left="240" w:top="274" w:right="279" w:bottom="1440" w:gutter="0" w:footer="0" w:header="0"/>
        </w:sectPr>
      </w:pPr>
    </w:p>
    <w:bookmarkStart w:id="341" w:name="page342"/>
    <w:bookmarkEnd w:id="34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certificate and the statements contained herein are made for your benefit and the benefit of the Issuer.</w:t>
      </w:r>
    </w:p>
    <w:p>
      <w:pPr>
        <w:spacing w:after="0" w:line="275" w:lineRule="exact"/>
        <w:rPr>
          <w:sz w:val="20"/>
          <w:szCs w:val="20"/>
          <w:color w:val="auto"/>
        </w:rPr>
      </w:pPr>
    </w:p>
    <w:p>
      <w:pPr>
        <w:jc w:val="right"/>
        <w:ind w:right="1359"/>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6858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219"/>
          </w:cols>
          <w:pgMar w:left="240" w:top="274" w:right="1440"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 TO CERTIFICATE OF TRANSFER</w:t>
      </w:r>
    </w:p>
    <w:p>
      <w:pPr>
        <w:spacing w:after="0" w:line="131" w:lineRule="exact"/>
        <w:rPr>
          <w:sz w:val="20"/>
          <w:szCs w:val="20"/>
          <w:color w:val="auto"/>
        </w:rPr>
      </w:pPr>
    </w:p>
    <w:p>
      <w:pPr>
        <w:ind w:left="460" w:hanging="452"/>
        <w:spacing w:after="0"/>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ONE OF (a) OR (b)]</w:t>
      </w:r>
    </w:p>
    <w:p>
      <w:pPr>
        <w:spacing w:after="0" w:line="131" w:lineRule="exact"/>
        <w:rPr>
          <w:sz w:val="20"/>
          <w:szCs w:val="20"/>
          <w:color w:val="auto"/>
        </w:rPr>
      </w:pPr>
    </w:p>
    <w:p>
      <w:pPr>
        <w:ind w:left="460" w:hanging="452"/>
        <w:spacing w:after="0"/>
        <w:tabs>
          <w:tab w:leader="none" w:pos="4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  ] 144A Global Note (CUSIP: [•]),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  ] Regulation S Global Note (CUSIP: [•]),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  ] a Restricted Definitive Note.</w:t>
      </w:r>
    </w:p>
    <w:p>
      <w:pPr>
        <w:spacing w:after="0" w:line="131" w:lineRule="exact"/>
        <w:rPr>
          <w:sz w:val="20"/>
          <w:szCs w:val="20"/>
          <w:color w:val="auto"/>
        </w:rPr>
      </w:pPr>
    </w:p>
    <w:p>
      <w:pPr>
        <w:ind w:left="460" w:hanging="452"/>
        <w:spacing w:after="0"/>
        <w:tabs>
          <w:tab w:leader="none" w:pos="4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ONE]</w:t>
      </w:r>
    </w:p>
    <w:p>
      <w:pPr>
        <w:spacing w:after="0" w:line="131" w:lineRule="exact"/>
        <w:rPr>
          <w:sz w:val="20"/>
          <w:szCs w:val="20"/>
          <w:color w:val="auto"/>
        </w:rPr>
      </w:pPr>
    </w:p>
    <w:p>
      <w:pPr>
        <w:ind w:left="460" w:hanging="452"/>
        <w:spacing w:after="0"/>
        <w:tabs>
          <w:tab w:leader="none" w:pos="4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131" w:lineRule="exact"/>
        <w:rPr>
          <w:sz w:val="20"/>
          <w:szCs w:val="20"/>
          <w:color w:val="auto"/>
        </w:rPr>
      </w:pPr>
    </w:p>
    <w:p>
      <w:pPr>
        <w:spacing w:after="0"/>
        <w:tabs>
          <w:tab w:leader="none" w:pos="440" w:val="left"/>
          <w:tab w:leader="none" w:pos="680" w:val="left"/>
          <w:tab w:leader="none" w:pos="33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w:t>
        <w:tab/>
        <w:t>] 144A Global Note (CUSIP:</w:t>
      </w:r>
      <w:r>
        <w:rPr>
          <w:sz w:val="20"/>
          <w:szCs w:val="20"/>
          <w:color w:val="auto"/>
        </w:rPr>
        <w:tab/>
      </w:r>
      <w:r>
        <w:rPr>
          <w:rFonts w:ascii="Arial" w:cs="Arial" w:eastAsia="Arial" w:hAnsi="Arial"/>
          <w:sz w:val="16"/>
          <w:szCs w:val="16"/>
          <w:color w:val="auto"/>
        </w:rPr>
        <w:t>), or</w:t>
      </w:r>
    </w:p>
    <w:p>
      <w:pPr>
        <w:spacing w:after="0" w:line="131" w:lineRule="exact"/>
        <w:rPr>
          <w:sz w:val="20"/>
          <w:szCs w:val="20"/>
          <w:color w:val="auto"/>
        </w:rPr>
      </w:pPr>
    </w:p>
    <w:p>
      <w:pPr>
        <w:ind w:left="460" w:hanging="452"/>
        <w:spacing w:after="0"/>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 Regulation S Global Note [CUSIP: ),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 Unrestricted Global Note ( ); or</w:t>
      </w:r>
    </w:p>
    <w:p>
      <w:pPr>
        <w:spacing w:after="0" w:line="131" w:lineRule="exact"/>
        <w:rPr>
          <w:sz w:val="20"/>
          <w:szCs w:val="20"/>
          <w:color w:val="auto"/>
        </w:rPr>
      </w:pPr>
    </w:p>
    <w:p>
      <w:pPr>
        <w:ind w:left="460" w:hanging="452"/>
        <w:spacing w:after="0"/>
        <w:tabs>
          <w:tab w:leader="none" w:pos="4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  ] a Restricted Definitive Note;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  ] an Unrestricted Definitive Note,</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accordance with the terms of the Indenture.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ANNEX-1</w:t>
      </w:r>
    </w:p>
    <w:p>
      <w:pPr>
        <w:sectPr>
          <w:pgSz w:w="11900" w:h="16838" w:orient="portrait"/>
          <w:cols w:equalWidth="0" w:num="1">
            <w:col w:w="11420"/>
          </w:cols>
          <w:pgMar w:left="240" w:top="273" w:right="2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Freescale Semiconductor,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6501 William Cannon Drive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78735 Fax: 512-996-6853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750 N. Saint Paul Place, Suite 1750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(214) 756-7401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Trust, Municipal and Escrow Services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6.000% Senior Secured Notes due 2022</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Reference is hereby made to the Amended and Restated Indenture, dated as of [•], 2015 (the “</w:t>
      </w:r>
      <w:r>
        <w:rPr>
          <w:rFonts w:ascii="Arial" w:cs="Arial" w:eastAsia="Arial" w:hAnsi="Arial"/>
          <w:sz w:val="16"/>
          <w:szCs w:val="16"/>
          <w:u w:val="single" w:color="auto"/>
          <w:color w:val="auto"/>
        </w:rPr>
        <w:t>Indenture</w:t>
      </w:r>
      <w:r>
        <w:rPr>
          <w:rFonts w:ascii="Arial" w:cs="Arial" w:eastAsia="Arial" w:hAnsi="Arial"/>
          <w:sz w:val="16"/>
          <w:szCs w:val="16"/>
          <w:color w:val="auto"/>
        </w:rPr>
        <w:t>”), among Freescale Semiconductor, Inc., the Guarantors named therein and the Trustee. Capitalized terms used but not defined herein shall have the meanings given to them in the Indenture.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Owner</w:t>
      </w:r>
      <w:r>
        <w:rPr>
          <w:rFonts w:ascii="Arial" w:cs="Arial" w:eastAsia="Arial" w:hAnsi="Arial"/>
          <w:sz w:val="18"/>
          <w:szCs w:val="18"/>
          <w:color w:val="auto"/>
        </w:rPr>
        <w:t>”) owns and proposes to exchange the Note[s] or interest in such Note[s] specified herein, in</w:t>
      </w:r>
    </w:p>
    <w:p>
      <w:pPr>
        <w:spacing w:after="0" w:line="225" w:lineRule="exact"/>
        <w:rPr>
          <w:sz w:val="20"/>
          <w:szCs w:val="20"/>
          <w:color w:val="auto"/>
        </w:rPr>
      </w:pPr>
    </w:p>
    <w:p>
      <w:pPr>
        <w:ind w:left="460"/>
        <w:spacing w:after="0"/>
        <w:tabs>
          <w:tab w:leader="none" w:pos="2840" w:val="left"/>
          <w:tab w:leader="none" w:pos="9980" w:val="left"/>
        </w:tabs>
        <w:rPr>
          <w:sz w:val="20"/>
          <w:szCs w:val="20"/>
          <w:color w:val="auto"/>
        </w:rPr>
      </w:pPr>
      <w:r>
        <w:rPr>
          <w:rFonts w:ascii="Arial" w:cs="Arial" w:eastAsia="Arial" w:hAnsi="Arial"/>
          <w:sz w:val="18"/>
          <w:szCs w:val="18"/>
          <w:color w:val="auto"/>
        </w:rPr>
        <w:t>the principal amount of $</w:t>
      </w:r>
      <w:r>
        <w:rPr>
          <w:sz w:val="20"/>
          <w:szCs w:val="20"/>
          <w:color w:val="auto"/>
        </w:rPr>
        <w:tab/>
      </w:r>
      <w:r>
        <w:rPr>
          <w:rFonts w:ascii="Arial" w:cs="Arial" w:eastAsia="Arial" w:hAnsi="Arial"/>
          <w:sz w:val="18"/>
          <w:szCs w:val="18"/>
          <w:color w:val="auto"/>
        </w:rPr>
        <w:t>in such Note[s] or interests (the “</w:t>
      </w:r>
      <w:r>
        <w:rPr>
          <w:rFonts w:ascii="Arial" w:cs="Arial" w:eastAsia="Arial" w:hAnsi="Arial"/>
          <w:sz w:val="18"/>
          <w:szCs w:val="18"/>
          <w:u w:val="single" w:color="auto"/>
          <w:color w:val="auto"/>
        </w:rPr>
        <w:t>Exchange</w:t>
      </w:r>
      <w:r>
        <w:rPr>
          <w:rFonts w:ascii="Arial" w:cs="Arial" w:eastAsia="Arial" w:hAnsi="Arial"/>
          <w:sz w:val="18"/>
          <w:szCs w:val="18"/>
          <w:color w:val="auto"/>
        </w:rPr>
        <w:t>”). In connection with the Exchange, the Owner</w:t>
      </w:r>
      <w:r>
        <w:rPr>
          <w:sz w:val="20"/>
          <w:szCs w:val="20"/>
          <w:color w:val="auto"/>
        </w:rPr>
        <w:tab/>
      </w:r>
      <w:r>
        <w:rPr>
          <w:rFonts w:ascii="Arial" w:cs="Arial" w:eastAsia="Arial" w:hAnsi="Arial"/>
          <w:sz w:val="16"/>
          <w:szCs w:val="16"/>
          <w:color w:val="auto"/>
        </w:rPr>
        <w:t>hereby certifies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right="1060" w:firstLine="464"/>
        <w:spacing w:after="0" w:line="277" w:lineRule="auto"/>
        <w:tabs>
          <w:tab w:leader="none" w:pos="651" w:val="left"/>
        </w:tabs>
        <w:numPr>
          <w:ilvl w:val="0"/>
          <w:numId w:val="540"/>
        </w:numPr>
        <w:rPr>
          <w:rFonts w:ascii="Arial" w:cs="Arial" w:eastAsia="Arial" w:hAnsi="Arial"/>
          <w:sz w:val="18"/>
          <w:szCs w:val="18"/>
          <w:color w:val="auto"/>
        </w:rPr>
      </w:pPr>
      <w:r>
        <w:rPr>
          <w:rFonts w:ascii="Arial" w:cs="Arial" w:eastAsia="Arial" w:hAnsi="Arial"/>
          <w:sz w:val="18"/>
          <w:szCs w:val="18"/>
          <w:color w:val="auto"/>
        </w:rPr>
        <w:t>EXCHANGE OF RESTRICTED DEFINITIVE NOTES OR BENEFICIAL INTERESTS IN A RESTRICTED GLOBAL NOTE FOR UNRESTRICTED DEFINITIVE NOTES OR BENEFICIAL INTERESTS IN AN UNRESTRICTED GLOBAL NOTE</w:t>
      </w:r>
    </w:p>
    <w:p>
      <w:pPr>
        <w:spacing w:after="0" w:line="62" w:lineRule="exact"/>
        <w:rPr>
          <w:rFonts w:ascii="Arial" w:cs="Arial" w:eastAsia="Arial" w:hAnsi="Arial"/>
          <w:sz w:val="18"/>
          <w:szCs w:val="18"/>
          <w:color w:val="auto"/>
        </w:rPr>
      </w:pPr>
    </w:p>
    <w:p>
      <w:pPr>
        <w:ind w:left="460" w:right="40" w:firstLine="443"/>
        <w:spacing w:after="0" w:line="254" w:lineRule="auto"/>
        <w:tabs>
          <w:tab w:leader="none" w:pos="1083" w:val="left"/>
        </w:tabs>
        <w:numPr>
          <w:ilvl w:val="1"/>
          <w:numId w:val="540"/>
        </w:numPr>
        <w:rPr>
          <w:rFonts w:ascii="Arial" w:cs="Arial" w:eastAsia="Arial" w:hAnsi="Arial"/>
          <w:sz w:val="18"/>
          <w:szCs w:val="18"/>
          <w:color w:val="auto"/>
        </w:rPr>
      </w:pPr>
      <w:r>
        <w:rPr>
          <w:rFonts w:ascii="Arial" w:cs="Arial" w:eastAsia="Arial" w:hAnsi="Arial"/>
          <w:sz w:val="18"/>
          <w:szCs w:val="18"/>
          <w:color w:val="auto"/>
        </w:rPr>
        <w:t>[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Act”),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84" w:lineRule="exact"/>
        <w:rPr>
          <w:rFonts w:ascii="Arial" w:cs="Arial" w:eastAsia="Arial" w:hAnsi="Arial"/>
          <w:sz w:val="18"/>
          <w:szCs w:val="18"/>
          <w:color w:val="auto"/>
        </w:rPr>
      </w:pPr>
    </w:p>
    <w:p>
      <w:pPr>
        <w:ind w:left="1100" w:hanging="197"/>
        <w:spacing w:after="0"/>
        <w:tabs>
          <w:tab w:leader="none" w:pos="110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 ] CHECK IF EXCHANGE IS FROM BENEFICIAL INTEREST IN A RESTRICTED GLOBAL NOTE TO UNRESTRICTED</w:t>
      </w:r>
    </w:p>
    <w:p>
      <w:pPr>
        <w:spacing w:after="0" w:line="23" w:lineRule="exact"/>
        <w:rPr>
          <w:rFonts w:ascii="Arial" w:cs="Arial" w:eastAsia="Arial" w:hAnsi="Arial"/>
          <w:sz w:val="18"/>
          <w:szCs w:val="18"/>
          <w:color w:val="auto"/>
        </w:rPr>
      </w:pPr>
    </w:p>
    <w:p>
      <w:pPr>
        <w:ind w:left="460"/>
        <w:spacing w:after="0" w:line="252" w:lineRule="auto"/>
        <w:rPr>
          <w:rFonts w:ascii="Arial" w:cs="Arial" w:eastAsia="Arial" w:hAnsi="Arial"/>
          <w:sz w:val="18"/>
          <w:szCs w:val="18"/>
          <w:color w:val="auto"/>
        </w:rPr>
      </w:pPr>
      <w:r>
        <w:rPr>
          <w:rFonts w:ascii="Arial" w:cs="Arial" w:eastAsia="Arial" w:hAnsi="Arial"/>
          <w:sz w:val="18"/>
          <w:szCs w:val="18"/>
          <w:color w:val="auto"/>
        </w:rPr>
        <w:t>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3" w:right="239" w:bottom="1440" w:gutter="0" w:footer="0" w:header="0"/>
        </w:sectPr>
      </w:pPr>
    </w:p>
    <w:bookmarkStart w:id="344" w:name="page345"/>
    <w:bookmarkEnd w:id="344"/>
    <w:p>
      <w:pPr>
        <w:ind w:right="40" w:firstLine="443"/>
        <w:spacing w:after="0" w:line="255" w:lineRule="auto"/>
        <w:tabs>
          <w:tab w:leader="none" w:pos="623" w:val="left"/>
        </w:tabs>
        <w:numPr>
          <w:ilvl w:val="1"/>
          <w:numId w:val="5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81" w:lineRule="exact"/>
        <w:rPr>
          <w:rFonts w:ascii="Arial" w:cs="Arial" w:eastAsia="Arial" w:hAnsi="Arial"/>
          <w:sz w:val="18"/>
          <w:szCs w:val="18"/>
          <w:color w:val="auto"/>
        </w:rPr>
      </w:pPr>
    </w:p>
    <w:p>
      <w:pPr>
        <w:ind w:right="120" w:firstLine="443"/>
        <w:spacing w:after="0" w:line="293" w:lineRule="auto"/>
        <w:tabs>
          <w:tab w:leader="none" w:pos="633" w:val="left"/>
        </w:tabs>
        <w:numPr>
          <w:ilvl w:val="1"/>
          <w:numId w:val="541"/>
        </w:numPr>
        <w:rPr>
          <w:rFonts w:ascii="Arial" w:cs="Arial" w:eastAsia="Arial" w:hAnsi="Arial"/>
          <w:sz w:val="16"/>
          <w:szCs w:val="16"/>
          <w:color w:val="auto"/>
        </w:rPr>
      </w:pPr>
      <w:r>
        <w:rPr>
          <w:rFonts w:ascii="Arial" w:cs="Arial" w:eastAsia="Arial" w:hAnsi="Arial"/>
          <w:sz w:val="16"/>
          <w:szCs w:val="16"/>
          <w:color w:val="auto"/>
        </w:rPr>
        <w:t>[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64" w:lineRule="exact"/>
        <w:rPr>
          <w:rFonts w:ascii="Arial" w:cs="Arial" w:eastAsia="Arial" w:hAnsi="Arial"/>
          <w:sz w:val="16"/>
          <w:szCs w:val="16"/>
          <w:color w:val="auto"/>
        </w:rPr>
      </w:pPr>
    </w:p>
    <w:p>
      <w:pPr>
        <w:ind w:left="-460" w:firstLine="464"/>
        <w:spacing w:after="0" w:line="277" w:lineRule="auto"/>
        <w:tabs>
          <w:tab w:leader="none" w:pos="191" w:val="left"/>
        </w:tabs>
        <w:numPr>
          <w:ilvl w:val="0"/>
          <w:numId w:val="542"/>
        </w:numPr>
        <w:rPr>
          <w:rFonts w:ascii="Arial" w:cs="Arial" w:eastAsia="Arial" w:hAnsi="Arial"/>
          <w:sz w:val="18"/>
          <w:szCs w:val="18"/>
          <w:color w:val="auto"/>
        </w:rPr>
      </w:pPr>
      <w:r>
        <w:rPr>
          <w:rFonts w:ascii="Arial" w:cs="Arial" w:eastAsia="Arial" w:hAnsi="Arial"/>
          <w:sz w:val="18"/>
          <w:szCs w:val="18"/>
          <w:color w:val="auto"/>
        </w:rPr>
        <w:t>EXCHANGE OF RESTRICTED DEFINITIVE NOTES OR BENEFICIAL INTERESTS IN RESTRICTED GLOBAL NOTES FOR RESTRICTED DEFINITIVE NOTES OR BENEFICIAL INTERESTS IN RESTRICTED GLOBAL NOTES</w:t>
      </w:r>
    </w:p>
    <w:p>
      <w:pPr>
        <w:spacing w:after="0" w:line="62" w:lineRule="exact"/>
        <w:rPr>
          <w:rFonts w:ascii="Arial" w:cs="Arial" w:eastAsia="Arial" w:hAnsi="Arial"/>
          <w:sz w:val="18"/>
          <w:szCs w:val="18"/>
          <w:color w:val="auto"/>
        </w:rPr>
      </w:pPr>
    </w:p>
    <w:p>
      <w:pPr>
        <w:ind w:right="20" w:firstLine="443"/>
        <w:spacing w:after="0" w:line="255" w:lineRule="auto"/>
        <w:tabs>
          <w:tab w:leader="none" w:pos="623" w:val="left"/>
        </w:tabs>
        <w:numPr>
          <w:ilvl w:val="1"/>
          <w:numId w:val="542"/>
        </w:numPr>
        <w:rPr>
          <w:rFonts w:ascii="Arial" w:cs="Arial" w:eastAsia="Arial" w:hAnsi="Arial"/>
          <w:sz w:val="18"/>
          <w:szCs w:val="18"/>
          <w:color w:val="auto"/>
        </w:rPr>
      </w:pPr>
      <w:r>
        <w:rPr>
          <w:rFonts w:ascii="Arial" w:cs="Arial" w:eastAsia="Arial" w:hAnsi="Arial"/>
          <w:sz w:val="18"/>
          <w:szCs w:val="18"/>
          <w:color w:val="auto"/>
        </w:rPr>
        <w:t>[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ind w:left="640" w:hanging="197"/>
        <w:spacing w:after="0" w:line="190" w:lineRule="auto"/>
        <w:tabs>
          <w:tab w:leader="none" w:pos="640" w:val="left"/>
        </w:tabs>
        <w:numPr>
          <w:ilvl w:val="1"/>
          <w:numId w:val="542"/>
        </w:numPr>
        <w:rPr>
          <w:rFonts w:ascii="Arial" w:cs="Arial" w:eastAsia="Arial" w:hAnsi="Arial"/>
          <w:sz w:val="12"/>
          <w:szCs w:val="12"/>
          <w:color w:val="auto"/>
        </w:rPr>
      </w:pPr>
      <w:r>
        <w:rPr>
          <w:rFonts w:ascii="Arial" w:cs="Arial" w:eastAsia="Arial" w:hAnsi="Arial"/>
          <w:sz w:val="12"/>
          <w:szCs w:val="12"/>
          <w:color w:val="auto"/>
        </w:rPr>
        <w:t>[ ] CHECK IF EXCHANGE IS FROM RESTRICTED DEFINITIVE NOTE TO BENEFICIAL INTEREST IN A RESTRICTED GLOBAL</w:t>
      </w:r>
    </w:p>
    <w:p>
      <w:pPr>
        <w:spacing w:after="0" w:line="20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NOTE. In connection with the Exchange of the Owner’s Restricted Definitive Note for a beneficial interest in the [CHECK ONE] [ ] 144A Global Note [ ] Regulation S Global Note, with an equal principal amount, the Owner hereby certifies (i) the beneficial interest is being acquired</w:t>
      </w:r>
    </w:p>
    <w:p>
      <w:pPr>
        <w:ind w:right="160"/>
        <w:spacing w:after="0" w:line="253" w:lineRule="auto"/>
        <w:rPr>
          <w:sz w:val="20"/>
          <w:szCs w:val="20"/>
          <w:color w:val="auto"/>
        </w:rPr>
      </w:pPr>
      <w:r>
        <w:rPr>
          <w:rFonts w:ascii="Arial" w:cs="Arial" w:eastAsia="Arial" w:hAnsi="Arial"/>
          <w:sz w:val="18"/>
          <w:szCs w:val="18"/>
          <w:color w:val="auto"/>
        </w:rPr>
        <w:t>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Issuer and are dated .</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60"/>
          </w:cols>
          <w:pgMar w:left="700" w:top="274" w:right="239" w:bottom="1440" w:gutter="0" w:footer="0" w:header="0"/>
        </w:sectPr>
      </w:pPr>
    </w:p>
    <w:bookmarkStart w:id="345" w:name="page346"/>
    <w:bookmarkEnd w:id="345"/>
    <w:p>
      <w:pPr>
        <w:jc w:val="right"/>
        <w:ind w:right="13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[Insert Name of Transferor]</w:t>
      </w:r>
    </w:p>
    <w:p>
      <w:pPr>
        <w:spacing w:after="0" w:line="22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6858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219"/>
          </w:cols>
          <w:pgMar w:left="240" w:top="274" w:right="1440"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dated as of , among (the “</w:t>
      </w:r>
      <w:r>
        <w:rPr>
          <w:rFonts w:ascii="Arial" w:cs="Arial" w:eastAsia="Arial" w:hAnsi="Arial"/>
          <w:sz w:val="18"/>
          <w:szCs w:val="18"/>
          <w:u w:val="single" w:color="auto"/>
          <w:color w:val="auto"/>
        </w:rPr>
        <w:t>Guaranteeing Subsidiary</w:t>
      </w:r>
      <w:r>
        <w:rPr>
          <w:rFonts w:ascii="Arial" w:cs="Arial" w:eastAsia="Arial" w:hAnsi="Arial"/>
          <w:sz w:val="18"/>
          <w:szCs w:val="18"/>
          <w:color w:val="auto"/>
        </w:rPr>
        <w:t>”), a subsidiary of Freescale Semiconductor Holdings III, Ltd., a Bermuda exempted limited liability company, Freescale Semiconductor,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Wells Fargo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WHEREAS, each of Freescale Semiconductor, Inc. and the Guarantors (as defined in the Indenture referred to below) has heretofore executed and delivered to the Trustee an Amended and Restated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dated as of [•], 2015, providing for the issuance of an unlimited aggregate principal amount of 6.000% Senior Secured Notes due 2022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Arial" w:cs="Arial" w:eastAsia="Arial" w:hAnsi="Arial"/>
          <w:sz w:val="18"/>
          <w:szCs w:val="18"/>
          <w:u w:val="single" w:color="auto"/>
          <w:color w:val="auto"/>
        </w:rPr>
        <w:t>Guarantee</w:t>
      </w:r>
      <w:r>
        <w:rPr>
          <w:rFonts w:ascii="Arial" w:cs="Arial" w:eastAsia="Arial" w:hAnsi="Arial"/>
          <w:sz w:val="18"/>
          <w:szCs w:val="18"/>
          <w:color w:val="auto"/>
        </w:rPr>
        <w:t>”);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62" w:lineRule="exact"/>
        <w:rPr>
          <w:sz w:val="20"/>
          <w:szCs w:val="20"/>
          <w:color w:val="auto"/>
        </w:rPr>
      </w:pPr>
    </w:p>
    <w:p>
      <w:pPr>
        <w:ind w:left="640" w:hanging="176"/>
        <w:spacing w:after="0"/>
        <w:tabs>
          <w:tab w:leader="none" w:pos="640"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 Indenture.</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The Guaranteeing Subsidiary hereby agrees as follows:</w:t>
      </w:r>
    </w:p>
    <w:p>
      <w:pPr>
        <w:spacing w:after="0" w:line="117"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2.1 Along with all other Guarantors named in the Indenture (including pursuant to any supplemental indentures), to jointly and severally unconditionally guarantee to each Holder of a Note authenticated and delivered by the Trustee and to the Trustee and its successors and assigns, irrespective of the validity and enforceability of the Indenture, the Notes, the Notes Collateral Documents or the obligations of the Issuer hereunder or thereunder, that:</w:t>
      </w:r>
    </w:p>
    <w:p>
      <w:pPr>
        <w:spacing w:after="0" w:line="39" w:lineRule="exact"/>
        <w:rPr>
          <w:sz w:val="20"/>
          <w:szCs w:val="20"/>
          <w:color w:val="auto"/>
        </w:rPr>
      </w:pPr>
    </w:p>
    <w:p>
      <w:pPr>
        <w:ind w:left="460" w:right="260" w:firstLine="881"/>
        <w:spacing w:after="0" w:line="312" w:lineRule="auto"/>
        <w:tabs>
          <w:tab w:leader="none" w:pos="1581" w:val="left"/>
        </w:tabs>
        <w:numPr>
          <w:ilvl w:val="0"/>
          <w:numId w:val="544"/>
        </w:numPr>
        <w:rPr>
          <w:rFonts w:ascii="Arial" w:cs="Arial" w:eastAsia="Arial" w:hAnsi="Arial"/>
          <w:sz w:val="16"/>
          <w:szCs w:val="16"/>
          <w:color w:val="auto"/>
        </w:rPr>
      </w:pPr>
      <w:r>
        <w:rPr>
          <w:rFonts w:ascii="Arial" w:cs="Arial" w:eastAsia="Arial" w:hAnsi="Arial"/>
          <w:sz w:val="16"/>
          <w:szCs w:val="16"/>
          <w:color w:val="auto"/>
        </w:rPr>
        <w:t>the principal of and interest and premium, if any, on the Notes shall be promptly paid in full when due, whether at maturity, by acceleration, redemption or otherwise, and interest on the overdue principal of and interest on the Notes, if any, if lawful, and all other obligations of the Issuer to the Holders or the Trustee thereunder shall be promptly paid in full or performed, all in accordance with the terms thereof; and</w:t>
      </w:r>
    </w:p>
    <w:p>
      <w:pPr>
        <w:spacing w:after="0" w:line="38" w:lineRule="exact"/>
        <w:rPr>
          <w:rFonts w:ascii="Arial" w:cs="Arial" w:eastAsia="Arial" w:hAnsi="Arial"/>
          <w:sz w:val="16"/>
          <w:szCs w:val="16"/>
          <w:color w:val="auto"/>
        </w:rPr>
      </w:pPr>
    </w:p>
    <w:p>
      <w:pPr>
        <w:ind w:left="460" w:right="140" w:firstLine="881"/>
        <w:spacing w:after="0" w:line="302" w:lineRule="auto"/>
        <w:tabs>
          <w:tab w:leader="none" w:pos="1591" w:val="left"/>
        </w:tabs>
        <w:numPr>
          <w:ilvl w:val="0"/>
          <w:numId w:val="544"/>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and the Guaranteeing Subsidiary shall be jointly and severally obligated to pay the same immediately. This is a guarantee of payment and not a guarantee of collection.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347" w:name="page348"/>
    <w:bookmarkEnd w:id="347"/>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 or any other Guarantor, any action to enforce the same or any other circumstance which might otherwise constitute a legal or equitable discharge or defense of a guarantor.</w:t>
      </w:r>
    </w:p>
    <w:p>
      <w:pPr>
        <w:spacing w:after="0" w:line="79" w:lineRule="exact"/>
        <w:rPr>
          <w:sz w:val="20"/>
          <w:szCs w:val="20"/>
          <w:color w:val="auto"/>
        </w:rPr>
      </w:pPr>
    </w:p>
    <w:p>
      <w:pPr>
        <w:ind w:right="540" w:firstLine="913"/>
        <w:spacing w:after="0" w:line="342" w:lineRule="auto"/>
        <w:rPr>
          <w:sz w:val="20"/>
          <w:szCs w:val="20"/>
          <w:color w:val="auto"/>
        </w:rPr>
      </w:pPr>
      <w:r>
        <w:rPr>
          <w:rFonts w:ascii="Arial" w:cs="Arial" w:eastAsia="Arial" w:hAnsi="Arial"/>
          <w:sz w:val="16"/>
          <w:szCs w:val="16"/>
          <w:color w:val="auto"/>
        </w:rPr>
        <w:t>2.3 The Guaranteeing Subsidiary hereby waives: diligence, presentment, demand of payment, filing of claims with a court in the event of insolvency or bankruptcy of the Issuer, any right to require a proceeding first against the Issuer, protest, notice and all demands whatsoever.</w:t>
      </w:r>
    </w:p>
    <w:p>
      <w:pPr>
        <w:spacing w:after="0" w:line="16" w:lineRule="exact"/>
        <w:rPr>
          <w:sz w:val="20"/>
          <w:szCs w:val="20"/>
          <w:color w:val="auto"/>
        </w:rPr>
      </w:pPr>
    </w:p>
    <w:p>
      <w:pPr>
        <w:ind w:right="240" w:firstLine="913"/>
        <w:spacing w:after="0" w:line="297" w:lineRule="auto"/>
        <w:rPr>
          <w:sz w:val="20"/>
          <w:szCs w:val="20"/>
          <w:color w:val="auto"/>
        </w:rPr>
      </w:pPr>
      <w:r>
        <w:rPr>
          <w:rFonts w:ascii="Arial" w:cs="Arial" w:eastAsia="Arial" w:hAnsi="Arial"/>
          <w:sz w:val="16"/>
          <w:szCs w:val="16"/>
          <w:color w:val="auto"/>
        </w:rPr>
        <w:t>2.4 This Guarantee shall not be discharged except by complete performance of the obligations contained in the Notes, the Indenture and this Supplemental Indenture. The Guaranteeing Subsidiary accepts all obligations applicable to a Guarantor under the Indenture, including Article X and, if applicable, Article XI of the Indenture (which is deemed incorporated in this Supplemental Indenture and applicable to this Guarantee) and, as applicable, Section 13.16 of the Indenture. The Guaranteeing Subsidiary acknowledges that by executing this Supplemental Indenture, it will become a Subsidiary Guarantor under the Indenture and subject to all the terms and conditions applicable to Subsidiary Guarantors contained therein.</w:t>
      </w:r>
    </w:p>
    <w:p>
      <w:pPr>
        <w:spacing w:after="0" w:line="5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2.5 If any Holder or the Trustee is required by any court or otherwise to return to the Issuer, the Guarantors (including the Guaranteeing Subsidiary),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57"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2.6 The Guaranteeing Subsidiary shall not be entitled to any right of subrogation in relation to the Holders in respect of any obligations guaranteed hereby until payment in full of all obligations guaranteed hereby.</w:t>
      </w:r>
    </w:p>
    <w:p>
      <w:pPr>
        <w:spacing w:after="0" w:line="62"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2.7 As between the Guaranteeing Subsidiary, on the one hand, and the Holders and the Trustee, on the other hand, (x) the maturity of the obligations guaranteed hereby may be accelerated as provided in Article 6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Guaranteeing Subsidiary for the purpose of this Guarantee.</w:t>
      </w:r>
    </w:p>
    <w:p>
      <w:pPr>
        <w:spacing w:after="0" w:line="8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2.8 The Guaranteeing Subsidiary shall have the right to seek contribution from any non-paying Guarantor so long as the exercise of such right does not impair the rights of the Holders under this Guarantee.</w:t>
      </w:r>
    </w:p>
    <w:p>
      <w:pPr>
        <w:spacing w:after="0" w:line="62"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2.9 Pursuant to Section 10.02 of the Indenture, after giving effect to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10 of the Indenture, this new Guarantee shall be limited to the maximum amount permissible such that the obligations of such Guaranteeing Subsidiary under this Guarantee will not constitute a fraudulent transfer or conveyance.</w:t>
      </w:r>
    </w:p>
    <w:p>
      <w:pPr>
        <w:spacing w:after="0" w:line="8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2.10 This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340"/>
          </w:cols>
          <w:pgMar w:left="240" w:top="273" w:right="319" w:bottom="1440" w:gutter="0" w:footer="0" w:header="0"/>
        </w:sectPr>
      </w:pPr>
    </w:p>
    <w:bookmarkStart w:id="348" w:name="page349"/>
    <w:bookmarkEnd w:id="34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 reduced, restored or returned, the Note shall, to the fullest extent permitted by law, be reinstated and deemed reduced only by such amount paid and not so rescinded, reduced, restored or returned.</w:t>
      </w:r>
    </w:p>
    <w:p>
      <w:pPr>
        <w:spacing w:after="0" w:line="8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2.11 In case any provision of this Guarantee shall be invalid, illegal or unenforceable, the validity, legality, and enforceability of the remaining provisions shall not in any way be affected or impaired thereby.</w:t>
      </w:r>
    </w:p>
    <w:p>
      <w:pPr>
        <w:spacing w:after="0" w:line="62" w:lineRule="exact"/>
        <w:rPr>
          <w:sz w:val="20"/>
          <w:szCs w:val="20"/>
          <w:color w:val="auto"/>
        </w:rPr>
      </w:pPr>
    </w:p>
    <w:p>
      <w:pPr>
        <w:jc w:val="both"/>
        <w:ind w:right="80" w:firstLine="913"/>
        <w:spacing w:after="0" w:line="312" w:lineRule="auto"/>
        <w:rPr>
          <w:sz w:val="20"/>
          <w:szCs w:val="20"/>
          <w:color w:val="auto"/>
        </w:rPr>
      </w:pPr>
      <w:r>
        <w:rPr>
          <w:rFonts w:ascii="Arial" w:cs="Arial" w:eastAsia="Arial" w:hAnsi="Arial"/>
          <w:sz w:val="16"/>
          <w:szCs w:val="16"/>
          <w:color w:val="auto"/>
        </w:rPr>
        <w:t xml:space="preserve">2.12 [This Guarantee shall be a secured senior obligation of such Guaranteeing Subsidiary, ranking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in right of payment with any other future First Lien Obligations and Senior Indebtedness of the Guaranteeing Subsidiary, if any.] [This Guarantee shall be an usecured senior obligation of such Guaranteeing Subsidiary, ranking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in right of payment with any other future Senior Indebtedness of the Guaranteeing Subsidiary, if any.]</w:t>
      </w:r>
    </w:p>
    <w:p>
      <w:pPr>
        <w:spacing w:after="0" w:line="39"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2.13 Each payment to be made by the Guaranteeing Subsidiary in respect of this Guarantee shall be made without set-off, counterclaim, reduction or diminution of any kind or nature.</w:t>
      </w:r>
    </w:p>
    <w:p>
      <w:pPr>
        <w:spacing w:after="0" w:line="62" w:lineRule="exact"/>
        <w:rPr>
          <w:sz w:val="20"/>
          <w:szCs w:val="20"/>
          <w:color w:val="auto"/>
        </w:rPr>
      </w:pPr>
    </w:p>
    <w:p>
      <w:pPr>
        <w:ind w:right="140" w:firstLine="464"/>
        <w:spacing w:after="0" w:line="277" w:lineRule="auto"/>
        <w:tabs>
          <w:tab w:leader="none" w:pos="636"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The Guaranteeing Subsidiary agrees that the Guarantee shall remain in full force and effect notwithstanding the absence of the endorsement of any notation of such Guarantee on the Notes.</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t>Merger, Consolidation, Amalgamation or Sale of All or Substantially All Assets</w:t>
      </w:r>
      <w:r>
        <w:rPr>
          <w:rFonts w:ascii="Arial" w:cs="Arial" w:eastAsia="Arial" w:hAnsi="Arial"/>
          <w:sz w:val="18"/>
          <w:szCs w:val="18"/>
          <w:color w:val="auto"/>
        </w:rPr>
        <w:t>.</w:t>
      </w:r>
    </w:p>
    <w:p>
      <w:pPr>
        <w:spacing w:after="0" w:line="117" w:lineRule="exact"/>
        <w:rPr>
          <w:sz w:val="20"/>
          <w:szCs w:val="20"/>
          <w:color w:val="auto"/>
        </w:rPr>
      </w:pPr>
    </w:p>
    <w:p>
      <w:pPr>
        <w:ind w:right="300" w:firstLine="913"/>
        <w:spacing w:after="0" w:line="286" w:lineRule="auto"/>
        <w:rPr>
          <w:sz w:val="20"/>
          <w:szCs w:val="20"/>
          <w:color w:val="auto"/>
        </w:rPr>
      </w:pPr>
      <w:r>
        <w:rPr>
          <w:rFonts w:ascii="Arial" w:cs="Arial" w:eastAsia="Arial" w:hAnsi="Arial"/>
          <w:sz w:val="17"/>
          <w:szCs w:val="17"/>
          <w:color w:val="auto"/>
        </w:rPr>
        <w:t>4.1 Except as otherwise provided in Section 5.01(c) of the Indenture, the Guaranteeing Subsidiary may not consolidate, amalgamate or merge with or into or wind up into (whether or not the Issuer or Guaranteeing Subsidiary is the surviving corporation), or sell, assign, transfer, lease, convey or otherwise dispose of all or substantially all of its properties or assets, in one or more related transactions, to any Person unless:</w:t>
      </w:r>
    </w:p>
    <w:p>
      <w:pPr>
        <w:spacing w:after="0" w:line="57" w:lineRule="exact"/>
        <w:rPr>
          <w:sz w:val="20"/>
          <w:szCs w:val="20"/>
          <w:color w:val="auto"/>
        </w:rPr>
      </w:pPr>
    </w:p>
    <w:p>
      <w:pPr>
        <w:ind w:left="460" w:right="60" w:firstLine="881"/>
        <w:spacing w:after="0" w:line="257" w:lineRule="auto"/>
        <w:tabs>
          <w:tab w:leader="none" w:pos="1581" w:val="left"/>
        </w:tabs>
        <w:numPr>
          <w:ilvl w:val="1"/>
          <w:numId w:val="546"/>
        </w:numPr>
        <w:rPr>
          <w:rFonts w:ascii="Arial" w:cs="Arial" w:eastAsia="Arial" w:hAnsi="Arial"/>
          <w:sz w:val="18"/>
          <w:szCs w:val="18"/>
          <w:color w:val="auto"/>
        </w:rPr>
      </w:pPr>
      <w:r>
        <w:rPr>
          <w:rFonts w:ascii="Arial" w:cs="Arial" w:eastAsia="Arial" w:hAnsi="Arial"/>
          <w:sz w:val="18"/>
          <w:szCs w:val="18"/>
          <w:color w:val="auto"/>
        </w:rPr>
        <w:t>(A) the Guaranteeing Subsidiary is the surviving corporation or the Person formed by or surviving any such consolidation, amalgamation or merger (if other than the Guaranteeing Subsidiary) or to which such sale, assignment, transfer, lease, conveyance or other disposition will have been made is a corporation organized or existing under the laws of the jurisdiction of organization of the Guaranteeing Subsidiary, as the case may be, or the laws of the United States, any state thereof, the District of Columbia, or any territory thereof (the Guaranteeing Subsidiary or such Person, as the case may be, being herein called the “</w:t>
      </w:r>
      <w:r>
        <w:rPr>
          <w:rFonts w:ascii="Arial" w:cs="Arial" w:eastAsia="Arial" w:hAnsi="Arial"/>
          <w:sz w:val="18"/>
          <w:szCs w:val="18"/>
          <w:u w:val="single" w:color="auto"/>
          <w:color w:val="auto"/>
        </w:rPr>
        <w:t>Successor Person</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60" w:firstLine="8"/>
        <w:spacing w:after="0" w:line="291" w:lineRule="auto"/>
        <w:tabs>
          <w:tab w:leader="none" w:pos="285" w:val="left"/>
        </w:tabs>
        <w:numPr>
          <w:ilvl w:val="0"/>
          <w:numId w:val="547"/>
        </w:numPr>
        <w:rPr>
          <w:rFonts w:ascii="Arial" w:cs="Arial" w:eastAsia="Arial" w:hAnsi="Arial"/>
          <w:sz w:val="16"/>
          <w:szCs w:val="16"/>
          <w:color w:val="auto"/>
        </w:rPr>
      </w:pPr>
      <w:r>
        <w:rPr>
          <w:rFonts w:ascii="Arial" w:cs="Arial" w:eastAsia="Arial" w:hAnsi="Arial"/>
          <w:sz w:val="16"/>
          <w:szCs w:val="16"/>
          <w:color w:val="auto"/>
        </w:rPr>
        <w:t>the Successor Person, if other than the Guaranteeing Subsidiary, expressly assumes all the obligations of the Guaranteeing Subsidiary under the Indenture and the Guaranteeing Subsidiary’s related Guarantee pursuant to supplemental indentures or other documents or instruments in form reasonably satisfactory to the Trustee and, if applicable, the performance of the covenants and obligations of such Guaranteeing Subsidiary under the Collateral Documents relating to the Notes and shall cause such amendments, supplements, or other instruments to be executed, filed and recorded in such jurisdictions as may be required by applicable law to preserve and protect the Lien on the Collateral owned by or transferred to the Successor Person, together with such financing statements or comparable documents as may be required to perfect any security interests in such Collateral which may be perfected by the filing of a financing statement or a similar document under the UCC or other similar statute or regulation of the relevant states or jurisdictions;</w:t>
      </w:r>
    </w:p>
    <w:p>
      <w:pPr>
        <w:spacing w:after="0" w:line="59" w:lineRule="exact"/>
        <w:rPr>
          <w:rFonts w:ascii="Arial" w:cs="Arial" w:eastAsia="Arial" w:hAnsi="Arial"/>
          <w:sz w:val="16"/>
          <w:szCs w:val="16"/>
          <w:color w:val="auto"/>
        </w:rPr>
      </w:pPr>
    </w:p>
    <w:p>
      <w:pPr>
        <w:ind w:left="300" w:hanging="292"/>
        <w:spacing w:after="0"/>
        <w:tabs>
          <w:tab w:leader="none" w:pos="3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immediately after such transaction, no Default exists;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420"/>
          </w:cols>
          <w:pgMar w:left="240" w:top="274" w:right="239" w:bottom="1440" w:gutter="0" w:footer="0" w:header="0"/>
        </w:sectPr>
      </w:pPr>
    </w:p>
    <w:bookmarkStart w:id="349" w:name="page350"/>
    <w:bookmarkEnd w:id="349"/>
    <w:p>
      <w:pPr>
        <w:ind w:right="160" w:firstLine="8"/>
        <w:spacing w:after="0" w:line="277" w:lineRule="auto"/>
        <w:tabs>
          <w:tab w:leader="none" w:pos="295" w:val="left"/>
        </w:tabs>
        <w:numPr>
          <w:ilvl w:val="0"/>
          <w:numId w:val="5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shall have delivered to the Trustee an Officer’s Certificate and an Opinion of Counsel, each stating that such consolidation, merger or transfer and such supplemental indentures, if any, comply with the Indenture; or</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the transaction is made in compliance with Section 4.10 of the Indenture;</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4.2 Subject to certain limitations described in the Indenture, the Successor Person will succeed to, and be substituted for, the Guaranteeing Subsidiary under the Indenture and the Guaranteeing Subsidiary’s Guarantee. Notwithstanding the foregoing, the Guaranteeing Subsidiary may merge into or transfer all or part of its properties and assets to another Guarantor or the Issuer.</w:t>
      </w:r>
    </w:p>
    <w:p>
      <w:pPr>
        <w:spacing w:after="0" w:line="73" w:lineRule="exact"/>
        <w:rPr>
          <w:sz w:val="20"/>
          <w:szCs w:val="20"/>
          <w:color w:val="auto"/>
        </w:rPr>
      </w:pPr>
    </w:p>
    <w:p>
      <w:pPr>
        <w:ind w:left="640" w:hanging="176"/>
        <w:spacing w:after="0"/>
        <w:tabs>
          <w:tab w:leader="none" w:pos="640"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Guarantee of the Guaranteeing Subsidiary shall be automatically and unconditionally released and discharged, and no further action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Guaranteeing Subsidiary, the Issuer or the Trustee is required for the release of the Guaranteeing Subsidiary’s Guarantee, upon:</w:t>
      </w:r>
    </w:p>
    <w:p>
      <w:pPr>
        <w:spacing w:after="0" w:line="103" w:lineRule="exact"/>
        <w:rPr>
          <w:sz w:val="20"/>
          <w:szCs w:val="20"/>
          <w:color w:val="auto"/>
        </w:rPr>
      </w:pPr>
    </w:p>
    <w:p>
      <w:pPr>
        <w:ind w:left="460" w:right="320" w:firstLine="881"/>
        <w:spacing w:after="0" w:line="286" w:lineRule="auto"/>
        <w:tabs>
          <w:tab w:leader="none" w:pos="1581" w:val="left"/>
        </w:tabs>
        <w:numPr>
          <w:ilvl w:val="2"/>
          <w:numId w:val="550"/>
        </w:numPr>
        <w:rPr>
          <w:rFonts w:ascii="Arial" w:cs="Arial" w:eastAsia="Arial" w:hAnsi="Arial"/>
          <w:sz w:val="17"/>
          <w:szCs w:val="17"/>
          <w:color w:val="auto"/>
        </w:rPr>
      </w:pPr>
      <w:r>
        <w:rPr>
          <w:rFonts w:ascii="Arial" w:cs="Arial" w:eastAsia="Arial" w:hAnsi="Arial"/>
          <w:sz w:val="17"/>
          <w:szCs w:val="17"/>
          <w:color w:val="auto"/>
        </w:rPr>
        <w:t>(A) any sale, exchange or transfer (by merger or otherwise) of the Capital Stock of the Guaranteeing Subsidiary (including any sale, exchange or transfer), after which the Guaranteeing Subsidiary is no longer a Restricted Subsidiary or all or substantially all the assets of the Guaranteeing Subsidiary which sale, exchange or transfer is made in compliance with the applicable provisions of the Indenture;</w:t>
      </w:r>
    </w:p>
    <w:p>
      <w:pPr>
        <w:spacing w:after="0" w:line="57" w:lineRule="exact"/>
        <w:rPr>
          <w:rFonts w:ascii="Arial" w:cs="Arial" w:eastAsia="Arial" w:hAnsi="Arial"/>
          <w:sz w:val="17"/>
          <w:szCs w:val="17"/>
          <w:color w:val="auto"/>
        </w:rPr>
      </w:pPr>
    </w:p>
    <w:p>
      <w:pPr>
        <w:jc w:val="both"/>
        <w:ind w:right="100" w:firstLine="8"/>
        <w:spacing w:after="0" w:line="264" w:lineRule="auto"/>
        <w:tabs>
          <w:tab w:leader="none" w:pos="285"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release or discharge of the guarantee by the Guaranteeing Subsidiary under all other First Lien Obligations (including the Senior Credit Facilities and the Existing Secured Notes) or the guarantee which resulted in the creation of the Guarantee, except a discharge or release by or as a result of payment under such guarantee;</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proper designation of the Guaranteeing Subsidiary as an Unrestricted Subsidiary;</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release of an Unrestricted Parent Guarantor of all Senior Credit Agreement Obligations; or</w:t>
      </w:r>
    </w:p>
    <w:p>
      <w:pPr>
        <w:spacing w:after="0" w:line="117" w:lineRule="exact"/>
        <w:rPr>
          <w:rFonts w:ascii="Arial" w:cs="Arial" w:eastAsia="Arial" w:hAnsi="Arial"/>
          <w:sz w:val="18"/>
          <w:szCs w:val="18"/>
          <w:color w:val="auto"/>
        </w:rPr>
      </w:pPr>
    </w:p>
    <w:p>
      <w:pPr>
        <w:ind w:right="100" w:firstLine="8"/>
        <w:spacing w:after="0" w:line="277" w:lineRule="auto"/>
        <w:tabs>
          <w:tab w:leader="none" w:pos="275"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Issuer exercising its Legal Defeasance option or Covenant Defeasance option in accordance with Article 8 of the Indenture or the Issuer’s obligations under the Indenture being discharged in accordance with the terms of the Indenture; and</w:t>
      </w:r>
    </w:p>
    <w:p>
      <w:pPr>
        <w:spacing w:after="0" w:line="62" w:lineRule="exact"/>
        <w:rPr>
          <w:rFonts w:ascii="Arial" w:cs="Arial" w:eastAsia="Arial" w:hAnsi="Arial"/>
          <w:sz w:val="18"/>
          <w:szCs w:val="18"/>
          <w:color w:val="auto"/>
        </w:rPr>
      </w:pPr>
    </w:p>
    <w:p>
      <w:pPr>
        <w:ind w:right="380" w:firstLine="1492"/>
        <w:spacing w:after="0" w:line="277" w:lineRule="auto"/>
        <w:tabs>
          <w:tab w:leader="none" w:pos="1728" w:val="left"/>
        </w:tabs>
        <w:numPr>
          <w:ilvl w:val="3"/>
          <w:numId w:val="551"/>
        </w:numPr>
        <w:rPr>
          <w:rFonts w:ascii="Arial" w:cs="Arial" w:eastAsia="Arial" w:hAnsi="Arial"/>
          <w:sz w:val="18"/>
          <w:szCs w:val="18"/>
          <w:color w:val="auto"/>
        </w:rPr>
      </w:pPr>
      <w:r>
        <w:rPr>
          <w:rFonts w:ascii="Arial" w:cs="Arial" w:eastAsia="Arial" w:hAnsi="Arial"/>
          <w:sz w:val="18"/>
          <w:szCs w:val="18"/>
          <w:color w:val="auto"/>
        </w:rPr>
        <w:t>(2) the Guaranteeing Subsidiary delivering to the Trustee an Officer’s Certificate and an Opinion of Counsel, each stating that all conditions precedent provided for in the Indenture relating to such transaction have been complied with.</w:t>
      </w:r>
    </w:p>
    <w:p>
      <w:pPr>
        <w:spacing w:after="0" w:line="62" w:lineRule="exact"/>
        <w:rPr>
          <w:rFonts w:ascii="Arial" w:cs="Arial" w:eastAsia="Arial" w:hAnsi="Arial"/>
          <w:sz w:val="18"/>
          <w:szCs w:val="18"/>
          <w:color w:val="auto"/>
        </w:rPr>
      </w:pPr>
    </w:p>
    <w:p>
      <w:pPr>
        <w:jc w:val="both"/>
        <w:ind w:right="100" w:firstLine="464"/>
        <w:spacing w:after="0" w:line="279" w:lineRule="auto"/>
        <w:tabs>
          <w:tab w:leader="none" w:pos="636" w:val="left"/>
        </w:tabs>
        <w:numPr>
          <w:ilvl w:val="1"/>
          <w:numId w:val="551"/>
        </w:numPr>
        <w:rPr>
          <w:rFonts w:ascii="Arial" w:cs="Arial" w:eastAsia="Arial" w:hAnsi="Arial"/>
          <w:sz w:val="17"/>
          <w:szCs w:val="17"/>
          <w:color w:val="auto"/>
        </w:rPr>
      </w:pPr>
      <w:r>
        <w:rPr>
          <w:rFonts w:ascii="Arial" w:cs="Arial" w:eastAsia="Arial" w:hAnsi="Arial"/>
          <w:sz w:val="17"/>
          <w:szCs w:val="17"/>
          <w:u w:val="single" w:color="auto"/>
          <w:color w:val="auto"/>
        </w:rPr>
        <w:t>No Recourse Against Others</w:t>
      </w:r>
      <w:r>
        <w:rPr>
          <w:rFonts w:ascii="Arial" w:cs="Arial" w:eastAsia="Arial" w:hAnsi="Arial"/>
          <w:sz w:val="17"/>
          <w:szCs w:val="17"/>
          <w:color w:val="auto"/>
        </w:rPr>
        <w:t>. No director, officer, employee, incorporator or stockholder of the Guaranteeing Subsidiary shall have any liability for any obligations of the Issuer or the Guarantors (including the Guaranteeing Subsidiary)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63" w:lineRule="exact"/>
        <w:rPr>
          <w:rFonts w:ascii="Arial" w:cs="Arial" w:eastAsia="Arial" w:hAnsi="Arial"/>
          <w:sz w:val="17"/>
          <w:szCs w:val="17"/>
          <w:color w:val="auto"/>
        </w:rPr>
      </w:pPr>
    </w:p>
    <w:p>
      <w:pPr>
        <w:ind w:firstLine="464"/>
        <w:spacing w:after="0" w:line="277" w:lineRule="auto"/>
        <w:tabs>
          <w:tab w:leader="none" w:pos="636" w:val="left"/>
        </w:tabs>
        <w:numPr>
          <w:ilvl w:val="1"/>
          <w:numId w:val="55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w:t>
      </w:r>
    </w:p>
    <w:p>
      <w:pPr>
        <w:spacing w:after="0" w:line="62" w:lineRule="exact"/>
        <w:rPr>
          <w:rFonts w:ascii="Arial" w:cs="Arial" w:eastAsia="Arial" w:hAnsi="Arial"/>
          <w:sz w:val="18"/>
          <w:szCs w:val="18"/>
          <w:color w:val="auto"/>
        </w:rPr>
      </w:pPr>
    </w:p>
    <w:p>
      <w:pPr>
        <w:ind w:right="440" w:firstLine="464"/>
        <w:spacing w:after="0" w:line="277" w:lineRule="auto"/>
        <w:tabs>
          <w:tab w:leader="none" w:pos="636" w:val="left"/>
        </w:tabs>
        <w:numPr>
          <w:ilvl w:val="1"/>
          <w:numId w:val="55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400"/>
          </w:cols>
          <w:pgMar w:left="240" w:top="274" w:right="259" w:bottom="1440" w:gutter="0" w:footer="0" w:header="0"/>
        </w:sectPr>
      </w:pPr>
    </w:p>
    <w:bookmarkStart w:id="350" w:name="page351"/>
    <w:bookmarkEnd w:id="350"/>
    <w:p>
      <w:pPr>
        <w:ind w:left="560" w:hanging="176"/>
        <w:spacing w:after="0"/>
        <w:tabs>
          <w:tab w:leader="none" w:pos="560"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of Headings</w:t>
      </w:r>
      <w:r>
        <w:rPr>
          <w:rFonts w:ascii="Arial" w:cs="Arial" w:eastAsia="Arial" w:hAnsi="Arial"/>
          <w:sz w:val="18"/>
          <w:szCs w:val="18"/>
          <w:color w:val="auto"/>
        </w:rPr>
        <w:t>. The Section headings herein are for convenience only and shall not affect the construction hereof.</w:t>
      </w:r>
    </w:p>
    <w:p>
      <w:pPr>
        <w:spacing w:after="0" w:line="117" w:lineRule="exact"/>
        <w:rPr>
          <w:rFonts w:ascii="Arial" w:cs="Arial" w:eastAsia="Arial" w:hAnsi="Arial"/>
          <w:sz w:val="18"/>
          <w:szCs w:val="18"/>
          <w:color w:val="auto"/>
        </w:rPr>
      </w:pPr>
    </w:p>
    <w:p>
      <w:pPr>
        <w:ind w:left="-80" w:right="300" w:firstLine="464"/>
        <w:spacing w:after="0" w:line="308" w:lineRule="auto"/>
        <w:tabs>
          <w:tab w:leader="none" w:pos="646" w:val="left"/>
        </w:tabs>
        <w:numPr>
          <w:ilvl w:val="0"/>
          <w:numId w:val="552"/>
        </w:numPr>
        <w:rPr>
          <w:rFonts w:ascii="Arial" w:cs="Arial" w:eastAsia="Arial" w:hAnsi="Arial"/>
          <w:sz w:val="17"/>
          <w:szCs w:val="17"/>
          <w:color w:val="auto"/>
        </w:rPr>
      </w:pPr>
      <w:r>
        <w:rPr>
          <w:rFonts w:ascii="Arial" w:cs="Arial" w:eastAsia="Arial" w:hAnsi="Arial"/>
          <w:sz w:val="17"/>
          <w:szCs w:val="17"/>
          <w:u w:val="single" w:color="auto"/>
          <w:color w:val="auto"/>
        </w:rPr>
        <w:t>The Trustee</w:t>
      </w:r>
      <w:r>
        <w:rPr>
          <w:rFonts w:ascii="Arial" w:cs="Arial" w:eastAsia="Arial" w:hAnsi="Arial"/>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w:t>
      </w:r>
    </w:p>
    <w:p>
      <w:pPr>
        <w:spacing w:after="0" w:line="38" w:lineRule="exact"/>
        <w:rPr>
          <w:rFonts w:ascii="Arial" w:cs="Arial" w:eastAsia="Arial" w:hAnsi="Arial"/>
          <w:sz w:val="17"/>
          <w:szCs w:val="17"/>
          <w:color w:val="auto"/>
        </w:rPr>
      </w:pPr>
    </w:p>
    <w:p>
      <w:pPr>
        <w:ind w:left="-80" w:firstLine="464"/>
        <w:spacing w:after="0" w:line="279" w:lineRule="auto"/>
        <w:tabs>
          <w:tab w:leader="none" w:pos="640" w:val="left"/>
        </w:tabs>
        <w:numPr>
          <w:ilvl w:val="0"/>
          <w:numId w:val="552"/>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xml:space="preserve">. The Guaranteeing Subsidiary shall be subrogated to all rights of Holders of Notes against the Issuer in respect of any amounts paid by the Guaranteeing Subsidiary pursuant to the provisions of Section 2 hereof and Section 10.01 of the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 Event of Default has occurred and is continuing, the Guaranteeing Subsidiary shall not be entitled to enforce or receive any payments arising out of, or based upon, such right of subrogation until all amounts then due and payable by the Issuer under the Indenture or the Notes shall have been paid in full.</w:t>
      </w:r>
    </w:p>
    <w:p>
      <w:pPr>
        <w:spacing w:after="0" w:line="63" w:lineRule="exact"/>
        <w:rPr>
          <w:rFonts w:ascii="Arial" w:cs="Arial" w:eastAsia="Arial" w:hAnsi="Arial"/>
          <w:sz w:val="17"/>
          <w:szCs w:val="17"/>
          <w:color w:val="auto"/>
        </w:rPr>
      </w:pPr>
    </w:p>
    <w:p>
      <w:pPr>
        <w:ind w:left="-80" w:right="20" w:firstLine="464"/>
        <w:spacing w:after="0" w:line="312" w:lineRule="auto"/>
        <w:tabs>
          <w:tab w:leader="none" w:pos="646" w:val="left"/>
        </w:tabs>
        <w:numPr>
          <w:ilvl w:val="0"/>
          <w:numId w:val="552"/>
        </w:numPr>
        <w:rPr>
          <w:rFonts w:ascii="Arial" w:cs="Arial" w:eastAsia="Arial" w:hAnsi="Arial"/>
          <w:sz w:val="16"/>
          <w:szCs w:val="16"/>
          <w:color w:val="auto"/>
        </w:rPr>
      </w:pPr>
      <w:r>
        <w:rPr>
          <w:rFonts w:ascii="Arial" w:cs="Arial" w:eastAsia="Arial" w:hAnsi="Arial"/>
          <w:sz w:val="16"/>
          <w:szCs w:val="16"/>
          <w:u w:val="single" w:color="auto"/>
          <w:color w:val="auto"/>
        </w:rPr>
        <w:t>Benefits Acknowledged</w:t>
      </w:r>
      <w:r>
        <w:rPr>
          <w:rFonts w:ascii="Arial" w:cs="Arial" w:eastAsia="Arial" w:hAnsi="Arial"/>
          <w:sz w:val="16"/>
          <w:szCs w:val="16"/>
          <w:color w:val="auto"/>
        </w:rPr>
        <w:t>. The Guaranteeing Subsidiary’s Guarantee is subject to the terms and conditions set forth in the Indenture. The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38" w:lineRule="exact"/>
        <w:rPr>
          <w:rFonts w:ascii="Arial" w:cs="Arial" w:eastAsia="Arial" w:hAnsi="Arial"/>
          <w:sz w:val="16"/>
          <w:szCs w:val="16"/>
          <w:color w:val="auto"/>
        </w:rPr>
      </w:pPr>
    </w:p>
    <w:p>
      <w:pPr>
        <w:ind w:left="-80" w:right="100" w:firstLine="464"/>
        <w:spacing w:after="0" w:line="342" w:lineRule="auto"/>
        <w:tabs>
          <w:tab w:leader="none" w:pos="646" w:val="left"/>
        </w:tabs>
        <w:numPr>
          <w:ilvl w:val="0"/>
          <w:numId w:val="552"/>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All agreements of the Guaranteeing Subsidiary in this Supplemental Indenture shall bind its Successors, except as otherwise provided in Section 2(k) hereof or elsewhere in this Supplemental Indenture. All agreements of the Trustee in this Supplemental Indenture shall bind its successors.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260"/>
          </w:cols>
          <w:pgMar w:left="320" w:top="274" w:right="319" w:bottom="1440" w:gutter="0" w:footer="0" w:header="0"/>
        </w:sectPr>
      </w:pPr>
    </w:p>
    <w:bookmarkStart w:id="351" w:name="page352"/>
    <w:bookmarkEnd w:id="3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14605</wp:posOffset>
            </wp:positionV>
            <wp:extent cx="254698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FREESCALE SEMICONDUCTOR, INC.</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14605</wp:posOffset>
            </wp:positionV>
            <wp:extent cx="254698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14605</wp:posOffset>
            </wp:positionV>
            <wp:extent cx="254698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0360"/>
          </w:cols>
          <w:pgMar w:left="1160" w:top="274" w:right="37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AGREED SECURITY PRINCIPLES</w:t>
      </w:r>
    </w:p>
    <w:p>
      <w:pPr>
        <w:spacing w:after="0" w:line="252" w:lineRule="exact"/>
        <w:rPr>
          <w:sz w:val="20"/>
          <w:szCs w:val="20"/>
          <w:color w:val="auto"/>
        </w:rPr>
      </w:pPr>
    </w:p>
    <w:p>
      <w:pPr>
        <w:ind w:left="580" w:hanging="572"/>
        <w:spacing w:after="0"/>
        <w:tabs>
          <w:tab w:leader="none" w:pos="580" w:val="left"/>
        </w:tabs>
        <w:numPr>
          <w:ilvl w:val="0"/>
          <w:numId w:val="553"/>
        </w:numPr>
        <w:rPr>
          <w:rFonts w:ascii="Arial" w:cs="Arial" w:eastAsia="Arial" w:hAnsi="Arial"/>
          <w:sz w:val="18"/>
          <w:szCs w:val="18"/>
          <w:color w:val="auto"/>
        </w:rPr>
      </w:pPr>
      <w:r>
        <w:rPr>
          <w:rFonts w:ascii="Arial" w:cs="Arial" w:eastAsia="Arial" w:hAnsi="Arial"/>
          <w:sz w:val="18"/>
          <w:szCs w:val="18"/>
          <w:u w:val="single" w:color="auto"/>
          <w:color w:val="auto"/>
        </w:rPr>
        <w:t>Agreed Security Principles</w:t>
      </w:r>
    </w:p>
    <w:p>
      <w:pPr>
        <w:spacing w:after="0" w:line="131" w:lineRule="exact"/>
        <w:rPr>
          <w:sz w:val="20"/>
          <w:szCs w:val="20"/>
          <w:color w:val="auto"/>
        </w:rPr>
      </w:pPr>
    </w:p>
    <w:p>
      <w:pPr>
        <w:ind w:left="580" w:right="280" w:hanging="566"/>
        <w:spacing w:after="0" w:line="286" w:lineRule="auto"/>
        <w:tabs>
          <w:tab w:leader="none" w:pos="5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The Guarantees and Liens to be provided by the Issuers and the Guarantors will be given in accordance with certain agreed security principles (the “</w:t>
      </w:r>
      <w:r>
        <w:rPr>
          <w:rFonts w:ascii="Arial" w:cs="Arial" w:eastAsia="Arial" w:hAnsi="Arial"/>
          <w:sz w:val="17"/>
          <w:szCs w:val="17"/>
          <w:u w:val="single" w:color="auto"/>
          <w:color w:val="auto"/>
        </w:rPr>
        <w:t>Agreed Security Principles</w:t>
      </w:r>
      <w:r>
        <w:rPr>
          <w:rFonts w:ascii="Arial" w:cs="Arial" w:eastAsia="Arial" w:hAnsi="Arial"/>
          <w:sz w:val="17"/>
          <w:szCs w:val="17"/>
          <w:color w:val="auto"/>
        </w:rPr>
        <w:t>”). This Exhibit E identifies the Agreed Security Principles and addresses the manner in which the Agreed Security Principles will impact on or be determinant of the Guarantees and Liens to be taken in relation to this Indenture.</w:t>
      </w:r>
    </w:p>
    <w:p>
      <w:pPr>
        <w:spacing w:after="0" w:line="71" w:lineRule="exact"/>
        <w:rPr>
          <w:sz w:val="20"/>
          <w:szCs w:val="20"/>
          <w:color w:val="auto"/>
        </w:rPr>
      </w:pPr>
    </w:p>
    <w:p>
      <w:pPr>
        <w:ind w:left="580" w:right="20" w:hanging="566"/>
        <w:spacing w:after="0" w:line="264" w:lineRule="auto"/>
        <w:tabs>
          <w:tab w:leader="none" w:pos="560" w:val="left"/>
        </w:tabs>
        <w:rPr>
          <w:sz w:val="20"/>
          <w:szCs w:val="20"/>
          <w:color w:val="auto"/>
        </w:rPr>
      </w:pPr>
      <w:r>
        <w:rPr>
          <w:rFonts w:ascii="Arial" w:cs="Arial" w:eastAsia="Arial" w:hAnsi="Arial"/>
          <w:sz w:val="18"/>
          <w:szCs w:val="18"/>
          <w:color w:val="auto"/>
        </w:rPr>
        <w:t>14.2</w:t>
        <w:tab/>
        <w:t>The Agreed Security Principles embody a recognition by all parties that there may be certain legal, commercial and practical difficulties in obtaining effective security from the Company and each of its Restricted Subsidiaries in every jurisdiction in which the Company and its Restricted Subsidiaries are located. In particular:</w:t>
      </w:r>
    </w:p>
    <w:p>
      <w:pPr>
        <w:spacing w:after="0" w:line="87" w:lineRule="exact"/>
        <w:rPr>
          <w:sz w:val="20"/>
          <w:szCs w:val="20"/>
          <w:color w:val="auto"/>
        </w:rPr>
      </w:pPr>
    </w:p>
    <w:p>
      <w:pPr>
        <w:ind w:left="1140" w:right="100" w:hanging="565"/>
        <w:spacing w:after="0" w:line="297" w:lineRule="auto"/>
        <w:tabs>
          <w:tab w:leader="none" w:pos="114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 xml:space="preserve">general statutory or other legal limitations or requirements, financial assistance, corporate benefit, fraudulent preference, “thin capitalization” rules, retention of title claims and similar matters may limit the ability of the Company or any of its Restricted Subsidiaries to provide a Guarantee or Liens or may require that it be limited as to amount or otherwise, and if so the same shall be limited accordingly,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or the relevant Restricted Subsidiary shall use reasonable endeavors to overcome such obstacle. The Company will use reasonable endeavors to assist in demonstrating that adequate corporate benefit accrues to each of the Restricted Subsidiary;</w:t>
      </w:r>
    </w:p>
    <w:p>
      <w:pPr>
        <w:spacing w:after="0" w:line="63" w:lineRule="exact"/>
        <w:rPr>
          <w:rFonts w:ascii="Arial" w:cs="Arial" w:eastAsia="Arial" w:hAnsi="Arial"/>
          <w:sz w:val="16"/>
          <w:szCs w:val="16"/>
          <w:color w:val="auto"/>
        </w:rPr>
      </w:pPr>
    </w:p>
    <w:p>
      <w:pPr>
        <w:ind w:left="1140" w:right="140" w:hanging="565"/>
        <w:spacing w:after="0" w:line="297" w:lineRule="auto"/>
        <w:tabs>
          <w:tab w:leader="none" w:pos="114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the Company and its Restricted Subsidiaries will not be required to give Guarantees or enter into security documents if (or to the extent) it is not within the legal capacity of the Company or its relevant Restricted Subsidiary or if the same would conflict with the fiduciary duties of their directors or contravene any legal prohibition or regulatory condition or result in, or could reasonably be expected to result in, a material risk of personal or criminal liability for any officer or director of the Company or any of the Restricted Subsidiaries, provided that the Company and each of its Restricted Subsidiaries shall use reasonable endeavors to overcome any such obstacle;</w:t>
      </w:r>
    </w:p>
    <w:p>
      <w:pPr>
        <w:spacing w:after="0" w:line="63" w:lineRule="exact"/>
        <w:rPr>
          <w:rFonts w:ascii="Arial" w:cs="Arial" w:eastAsia="Arial" w:hAnsi="Arial"/>
          <w:sz w:val="16"/>
          <w:szCs w:val="16"/>
          <w:color w:val="auto"/>
        </w:rPr>
      </w:pPr>
    </w:p>
    <w:p>
      <w:pPr>
        <w:ind w:left="1140" w:right="340" w:hanging="565"/>
        <w:spacing w:after="0" w:line="342" w:lineRule="auto"/>
        <w:tabs>
          <w:tab w:leader="none" w:pos="114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a key factor in determining whether or not security shall be taken is the applicable cost (including adverse effects on interest deductibility, registration taxes and notarial costs) which shall not be disproportionate to the benefit to the Holders of obtaining such security;</w:t>
      </w:r>
    </w:p>
    <w:p>
      <w:pPr>
        <w:spacing w:after="0" w:line="29" w:lineRule="exact"/>
        <w:rPr>
          <w:rFonts w:ascii="Arial" w:cs="Arial" w:eastAsia="Arial" w:hAnsi="Arial"/>
          <w:sz w:val="16"/>
          <w:szCs w:val="16"/>
          <w:color w:val="auto"/>
        </w:rPr>
      </w:pPr>
    </w:p>
    <w:p>
      <w:pPr>
        <w:ind w:left="1140" w:right="60" w:hanging="565"/>
        <w:spacing w:after="0" w:line="259" w:lineRule="auto"/>
        <w:tabs>
          <w:tab w:leader="none" w:pos="114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where there is material incremental cost involved in creating security over all assets owned by any of the Issuers or a Guarantor in a particular category (e.g. real estate), regard shall be had to the principle stated at paragraph 1.2(c) of this Exhibit E which shall apply to the immaterial assets and, subject to the Agreed Security Principles, only the material assets in that category (e.g. real estate of material economic value) shall be subject to security;</w:t>
      </w:r>
    </w:p>
    <w:p>
      <w:pPr>
        <w:spacing w:after="0" w:line="92" w:lineRule="exact"/>
        <w:rPr>
          <w:rFonts w:ascii="Arial" w:cs="Arial" w:eastAsia="Arial" w:hAnsi="Arial"/>
          <w:sz w:val="18"/>
          <w:szCs w:val="18"/>
          <w:color w:val="auto"/>
        </w:rPr>
      </w:pPr>
    </w:p>
    <w:p>
      <w:pPr>
        <w:ind w:left="1140" w:right="140" w:hanging="565"/>
        <w:spacing w:after="0" w:line="277" w:lineRule="auto"/>
        <w:tabs>
          <w:tab w:leader="none" w:pos="114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it is expressly acknowledged that it may be either impossible or impractical to create security over certain categories of assets in which event security will not be taken over such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3" w:right="239" w:bottom="1440" w:gutter="0" w:footer="0" w:header="0"/>
        </w:sectPr>
      </w:pPr>
    </w:p>
    <w:bookmarkStart w:id="353" w:name="page354"/>
    <w:bookmarkEnd w:id="353"/>
    <w:p>
      <w:pPr>
        <w:ind w:left="565" w:right="40" w:hanging="565"/>
        <w:spacing w:after="0" w:line="254" w:lineRule="auto"/>
        <w:tabs>
          <w:tab w:leader="none" w:pos="565" w:val="left"/>
        </w:tabs>
        <w:numPr>
          <w:ilvl w:val="0"/>
          <w:numId w:val="5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assets subject to contracts, leases, licenses or other arrangements with a third party that exist concurrently or are not prohibited by this Agreement and which (subject to override by the Uniform Commercial Code and other relevant provisions of applicable law), effectively prevent those assets from being charged will be excluded from any relevant security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reasonable endeavors to obtain consent to creating Liens in any such assets shall be used by the Company and each of its Restricted Subsidiaries to avoid or overcome such restrictions if either Collateral Agent reasonably determines that the relevant asset is material (which endeavors shall not include the payment of any consent fees), but unless effectively prohibited by contracts, leases, licenses or other arrangements with a third party that exist concurrently or are not prohibited by this Indenture, this shall not prevent security being given over any receipt or recovery under such contract, lease or license;</w:t>
      </w:r>
    </w:p>
    <w:p>
      <w:pPr>
        <w:spacing w:after="0" w:line="97" w:lineRule="exact"/>
        <w:rPr>
          <w:rFonts w:ascii="Arial" w:cs="Arial" w:eastAsia="Arial" w:hAnsi="Arial"/>
          <w:sz w:val="18"/>
          <w:szCs w:val="18"/>
          <w:color w:val="auto"/>
        </w:rPr>
      </w:pPr>
    </w:p>
    <w:p>
      <w:pPr>
        <w:ind w:left="565" w:hanging="565"/>
        <w:spacing w:after="0" w:line="264" w:lineRule="auto"/>
        <w:tabs>
          <w:tab w:leader="none" w:pos="56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the giving of a Guarantee, the granting of security or the perfection of the security granted will not be required if it would have a material adverse effect (as reasonably determined in good faith by management of the relevant obligor) on the ability of the relevant obligor to conduct its operations and business in the ordinary course as otherwise permitted by this Indenture;</w:t>
      </w:r>
    </w:p>
    <w:p>
      <w:pPr>
        <w:spacing w:after="0" w:line="86" w:lineRule="exact"/>
        <w:rPr>
          <w:rFonts w:ascii="Arial" w:cs="Arial" w:eastAsia="Arial" w:hAnsi="Arial"/>
          <w:sz w:val="18"/>
          <w:szCs w:val="18"/>
          <w:color w:val="auto"/>
        </w:rPr>
      </w:pPr>
    </w:p>
    <w:p>
      <w:pPr>
        <w:ind w:left="565" w:right="100" w:hanging="565"/>
        <w:spacing w:after="0" w:line="254" w:lineRule="auto"/>
        <w:tabs>
          <w:tab w:leader="none" w:pos="56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in the case of accounts receivable, a material adverse effect on either Issuer’s or a Guarantor’s relationship with or sales to the customer generating such receivables or material legal or commercial difficulties (as reasonably determined by management of the relevant obligor in good faith) provided that none of the Issuers and the Guarantors may utilize this exception unless, after giving effect thereto no less than a majority of the book value of the accounts receivable of the Company and its Subsidiaries on a consolidated basis (as measured at the end of each fiscal quarter) is subject to perfected liens, and provided further that any accounts receivable of the Issuers and the Guarantors excluded from Collateral by virtue of this clause (except where prohibited by law and subject to the remainder of these Agreed Security Principles) shall be subject to perfected Liens promptly if and when the corporate credit of the Company is downgraded to “B” or lower from S&amp;P and “B2” or lower from Moody’s;</w:t>
      </w:r>
    </w:p>
    <w:p>
      <w:pPr>
        <w:spacing w:after="0" w:line="97" w:lineRule="exact"/>
        <w:rPr>
          <w:rFonts w:ascii="Arial" w:cs="Arial" w:eastAsia="Arial" w:hAnsi="Arial"/>
          <w:sz w:val="18"/>
          <w:szCs w:val="18"/>
          <w:color w:val="auto"/>
        </w:rPr>
      </w:pPr>
    </w:p>
    <w:p>
      <w:pPr>
        <w:ind w:left="565" w:right="180" w:hanging="565"/>
        <w:spacing w:after="0" w:line="277" w:lineRule="auto"/>
        <w:tabs>
          <w:tab w:leader="none" w:pos="56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security will be limited so that the aggregate of notarial costs and all registration and like taxes relating to the provision of security shall not exceed an amount to be agreed. Any additional costs may be paid by the Holders at their option; and</w:t>
      </w:r>
    </w:p>
    <w:p>
      <w:pPr>
        <w:spacing w:after="0" w:line="75" w:lineRule="exact"/>
        <w:rPr>
          <w:rFonts w:ascii="Arial" w:cs="Arial" w:eastAsia="Arial" w:hAnsi="Arial"/>
          <w:sz w:val="18"/>
          <w:szCs w:val="18"/>
          <w:color w:val="auto"/>
        </w:rPr>
      </w:pPr>
    </w:p>
    <w:p>
      <w:pPr>
        <w:ind w:left="565" w:right="100" w:hanging="565"/>
        <w:spacing w:after="0" w:line="279" w:lineRule="auto"/>
        <w:tabs>
          <w:tab w:leader="none" w:pos="565" w:val="left"/>
        </w:tabs>
        <w:numPr>
          <w:ilvl w:val="0"/>
          <w:numId w:val="555"/>
        </w:numPr>
        <w:rPr>
          <w:rFonts w:ascii="Arial" w:cs="Arial" w:eastAsia="Arial" w:hAnsi="Arial"/>
          <w:sz w:val="17"/>
          <w:szCs w:val="17"/>
          <w:color w:val="auto"/>
        </w:rPr>
      </w:pPr>
      <w:r>
        <w:rPr>
          <w:rFonts w:ascii="Arial" w:cs="Arial" w:eastAsia="Arial" w:hAnsi="Arial"/>
          <w:sz w:val="17"/>
          <w:szCs w:val="17"/>
          <w:color w:val="auto"/>
        </w:rPr>
        <w:t>all security shall be given in favor of a single security trustee or collateral agent and not the secured parties individually. “Parallel debt” provisions and other similar structural options will be used where necessary and such provisions will be contained in the intercreditor agreement and not the individual security documents unless required under local law. No action will be required to be taken in relation to the guarantees or security when any lender assigns or transfers any of its participation in this Indenture to a new lender.</w:t>
      </w:r>
    </w:p>
    <w:p>
      <w:pPr>
        <w:spacing w:after="0" w:line="76" w:lineRule="exact"/>
        <w:rPr>
          <w:rFonts w:ascii="Arial" w:cs="Arial" w:eastAsia="Arial" w:hAnsi="Arial"/>
          <w:sz w:val="17"/>
          <w:szCs w:val="17"/>
          <w:color w:val="auto"/>
        </w:rPr>
      </w:pPr>
    </w:p>
    <w:p>
      <w:pPr>
        <w:ind w:left="565" w:right="20" w:hanging="565"/>
        <w:spacing w:after="0" w:line="277" w:lineRule="auto"/>
        <w:tabs>
          <w:tab w:leader="none" w:pos="56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no action to grant security shall be required to be taken in jurisdictions other than Bermuda, the Netherlands and the United States of America and no perfection action will be required in any other jurisdiction.</w:t>
      </w:r>
    </w:p>
    <w:p>
      <w:pPr>
        <w:spacing w:after="0" w:line="103" w:lineRule="exact"/>
        <w:rPr>
          <w:sz w:val="20"/>
          <w:szCs w:val="20"/>
          <w:color w:val="auto"/>
        </w:rPr>
      </w:pPr>
    </w:p>
    <w:p>
      <w:pPr>
        <w:jc w:val="center"/>
        <w:ind w:right="515"/>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805"/>
          </w:cols>
          <w:pgMar w:left="815" w:top="274" w:right="279" w:bottom="1440" w:gutter="0" w:footer="0" w:header="0"/>
        </w:sectPr>
      </w:pPr>
    </w:p>
    <w:bookmarkStart w:id="354" w:name="page355"/>
    <w:bookmarkEnd w:id="354"/>
    <w:p>
      <w:pPr>
        <w:ind w:left="572" w:hanging="572"/>
        <w:spacing w:after="0"/>
        <w:tabs>
          <w:tab w:leader="none" w:pos="572"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of security documents</w:t>
      </w:r>
    </w:p>
    <w:p>
      <w:pPr>
        <w:spacing w:after="0" w:line="117"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following principles will be reflected in the terms of any security document to be executed and delivered:</w:t>
      </w:r>
    </w:p>
    <w:p>
      <w:pPr>
        <w:spacing w:after="0" w:line="130" w:lineRule="exact"/>
        <w:rPr>
          <w:rFonts w:ascii="Arial" w:cs="Arial" w:eastAsia="Arial" w:hAnsi="Arial"/>
          <w:sz w:val="18"/>
          <w:szCs w:val="18"/>
          <w:color w:val="auto"/>
        </w:rPr>
      </w:pPr>
    </w:p>
    <w:p>
      <w:pPr>
        <w:ind w:left="1132" w:right="140" w:hanging="565"/>
        <w:spacing w:after="0" w:line="259" w:lineRule="auto"/>
        <w:tabs>
          <w:tab w:leader="none" w:pos="113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subject to Permitted Liens and these Agreed Security Principles the security will be first ranking and the perfection of security (when required) and other legal formalities will be completed as soon as practicable and, in any event, within the time periods specified in the Note Documents or, if earlier or to the extent no such time period is specified in the Note Documents, within the time periods specified by applicable law in order to ensure due perfection;</w:t>
      </w:r>
    </w:p>
    <w:p>
      <w:pPr>
        <w:spacing w:after="0" w:line="92" w:lineRule="exact"/>
        <w:rPr>
          <w:rFonts w:ascii="Arial" w:cs="Arial" w:eastAsia="Arial" w:hAnsi="Arial"/>
          <w:sz w:val="18"/>
          <w:szCs w:val="18"/>
          <w:color w:val="auto"/>
        </w:rPr>
      </w:pPr>
    </w:p>
    <w:p>
      <w:pPr>
        <w:ind w:left="1132" w:right="500" w:hanging="565"/>
        <w:spacing w:after="0" w:line="342" w:lineRule="auto"/>
        <w:tabs>
          <w:tab w:leader="none" w:pos="1132" w:val="left"/>
        </w:tabs>
        <w:numPr>
          <w:ilvl w:val="1"/>
          <w:numId w:val="556"/>
        </w:numPr>
        <w:rPr>
          <w:rFonts w:ascii="Arial" w:cs="Arial" w:eastAsia="Arial" w:hAnsi="Arial"/>
          <w:sz w:val="16"/>
          <w:szCs w:val="16"/>
          <w:color w:val="auto"/>
        </w:rPr>
      </w:pPr>
      <w:r>
        <w:rPr>
          <w:rFonts w:ascii="Arial" w:cs="Arial" w:eastAsia="Arial" w:hAnsi="Arial"/>
          <w:sz w:val="16"/>
          <w:szCs w:val="16"/>
          <w:color w:val="auto"/>
        </w:rPr>
        <w:t>the security will not be enforceable until an Event of Default has occurred and notice of acceleration of the Notes has been given by the Trustee or the Notes have otherwise become due and payable prior to the scheduled maturity thereof (an “</w:t>
      </w:r>
      <w:r>
        <w:rPr>
          <w:rFonts w:ascii="Arial" w:cs="Arial" w:eastAsia="Arial" w:hAnsi="Arial"/>
          <w:sz w:val="16"/>
          <w:szCs w:val="16"/>
          <w:u w:val="single" w:color="auto"/>
          <w:color w:val="auto"/>
        </w:rPr>
        <w:t>Enforcement Event</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132" w:right="200" w:hanging="565"/>
        <w:spacing w:after="0" w:line="277" w:lineRule="auto"/>
        <w:tabs>
          <w:tab w:leader="none" w:pos="113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prior to the maturity date of the Notes, notification of any Liens over bank accounts will be given (subject to legal advice) to the banks with whom the accounts are maintained only if an Enforcement Event has occurred;</w:t>
      </w:r>
    </w:p>
    <w:p>
      <w:pPr>
        <w:spacing w:after="0" w:line="75" w:lineRule="exact"/>
        <w:rPr>
          <w:rFonts w:ascii="Arial" w:cs="Arial" w:eastAsia="Arial" w:hAnsi="Arial"/>
          <w:sz w:val="18"/>
          <w:szCs w:val="18"/>
          <w:color w:val="auto"/>
        </w:rPr>
      </w:pPr>
    </w:p>
    <w:p>
      <w:pPr>
        <w:ind w:left="1132" w:right="180" w:hanging="565"/>
        <w:spacing w:after="0" w:line="277" w:lineRule="auto"/>
        <w:tabs>
          <w:tab w:leader="none" w:pos="113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notification of receivables security to debtors who are not members of the Company or its Subsidiaries will only be given if an Enforcement Event has occurred;</w:t>
      </w:r>
    </w:p>
    <w:p>
      <w:pPr>
        <w:spacing w:after="0" w:line="75" w:lineRule="exact"/>
        <w:rPr>
          <w:rFonts w:ascii="Arial" w:cs="Arial" w:eastAsia="Arial" w:hAnsi="Arial"/>
          <w:sz w:val="18"/>
          <w:szCs w:val="18"/>
          <w:color w:val="auto"/>
        </w:rPr>
      </w:pPr>
    </w:p>
    <w:p>
      <w:pPr>
        <w:ind w:left="1132" w:right="320" w:hanging="565"/>
        <w:spacing w:after="0" w:line="277" w:lineRule="auto"/>
        <w:tabs>
          <w:tab w:leader="none" w:pos="113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notification of any security interest over insurance policies will be served on any insurer of the Company’s or any Restricted Subsidiaries’ assets;</w:t>
      </w:r>
    </w:p>
    <w:p>
      <w:pPr>
        <w:spacing w:after="0" w:line="75" w:lineRule="exact"/>
        <w:rPr>
          <w:rFonts w:ascii="Arial" w:cs="Arial" w:eastAsia="Arial" w:hAnsi="Arial"/>
          <w:sz w:val="18"/>
          <w:szCs w:val="18"/>
          <w:color w:val="auto"/>
        </w:rPr>
      </w:pPr>
    </w:p>
    <w:p>
      <w:pPr>
        <w:jc w:val="both"/>
        <w:ind w:left="1132" w:right="20" w:hanging="565"/>
        <w:spacing w:after="0" w:line="312" w:lineRule="auto"/>
        <w:tabs>
          <w:tab w:leader="none" w:pos="1132" w:val="left"/>
        </w:tabs>
        <w:numPr>
          <w:ilvl w:val="1"/>
          <w:numId w:val="556"/>
        </w:numPr>
        <w:rPr>
          <w:rFonts w:ascii="Arial" w:cs="Arial" w:eastAsia="Arial" w:hAnsi="Arial"/>
          <w:sz w:val="16"/>
          <w:szCs w:val="16"/>
          <w:color w:val="auto"/>
        </w:rPr>
      </w:pPr>
      <w:r>
        <w:rPr>
          <w:rFonts w:ascii="Arial" w:cs="Arial" w:eastAsia="Arial" w:hAnsi="Arial"/>
          <w:sz w:val="16"/>
          <w:szCs w:val="16"/>
          <w:color w:val="auto"/>
        </w:rPr>
        <w:t>the security documents should only operate to create security rather than to impose new commercial obligations. Accordingly, they should not contain material additional representations, undertakings or indemnities (such as in respect of insurance, information or the payment of costs) unless these are the same as or consistent with those contained in this Indenture or are necessary for the creation or perfection of the security;</w:t>
      </w:r>
    </w:p>
    <w:p>
      <w:pPr>
        <w:spacing w:after="0" w:line="52" w:lineRule="exact"/>
        <w:rPr>
          <w:rFonts w:ascii="Arial" w:cs="Arial" w:eastAsia="Arial" w:hAnsi="Arial"/>
          <w:sz w:val="16"/>
          <w:szCs w:val="16"/>
          <w:color w:val="auto"/>
        </w:rPr>
      </w:pPr>
    </w:p>
    <w:p>
      <w:pPr>
        <w:ind w:left="1132" w:hanging="565"/>
        <w:spacing w:after="0" w:line="276" w:lineRule="auto"/>
        <w:tabs>
          <w:tab w:leader="none" w:pos="1132" w:val="left"/>
        </w:tabs>
        <w:numPr>
          <w:ilvl w:val="1"/>
          <w:numId w:val="556"/>
        </w:numPr>
        <w:rPr>
          <w:rFonts w:ascii="Arial" w:cs="Arial" w:eastAsia="Arial" w:hAnsi="Arial"/>
          <w:sz w:val="17"/>
          <w:szCs w:val="17"/>
          <w:color w:val="auto"/>
        </w:rPr>
      </w:pPr>
      <w:r>
        <w:rPr>
          <w:rFonts w:ascii="Arial" w:cs="Arial" w:eastAsia="Arial" w:hAnsi="Arial"/>
          <w:sz w:val="17"/>
          <w:szCs w:val="17"/>
          <w:color w:val="auto"/>
        </w:rPr>
        <w:t>in respect of the share pledges and pledges of intra-group receivables, until an Enforcement Event has occurred, the pledgors will be permitted to retain and to exercise voting rights to any shares pledged by them in a manner which does not materially adversely affect the value of the security (taken as a whole) or the validity or enforceability of the security or cause an Event of Default to occur, and the pledgors will be permitted to receive dividends on pledged shares and payment of intra-group receivables and retain the proceeds and/or make the proceeds available to Holdings and its Subsidiaries to the extent not prohibited under this Indenture;</w:t>
      </w:r>
    </w:p>
    <w:p>
      <w:pPr>
        <w:spacing w:after="0" w:line="77" w:lineRule="exact"/>
        <w:rPr>
          <w:rFonts w:ascii="Arial" w:cs="Arial" w:eastAsia="Arial" w:hAnsi="Arial"/>
          <w:sz w:val="17"/>
          <w:szCs w:val="17"/>
          <w:color w:val="auto"/>
        </w:rPr>
      </w:pPr>
    </w:p>
    <w:p>
      <w:pPr>
        <w:ind w:left="1132" w:right="120" w:hanging="565"/>
        <w:spacing w:after="0" w:line="342" w:lineRule="auto"/>
        <w:tabs>
          <w:tab w:leader="none" w:pos="1132" w:val="left"/>
        </w:tabs>
        <w:numPr>
          <w:ilvl w:val="1"/>
          <w:numId w:val="556"/>
        </w:numPr>
        <w:rPr>
          <w:rFonts w:ascii="Arial" w:cs="Arial" w:eastAsia="Arial" w:hAnsi="Arial"/>
          <w:sz w:val="16"/>
          <w:szCs w:val="16"/>
          <w:color w:val="auto"/>
        </w:rPr>
      </w:pPr>
      <w:r>
        <w:rPr>
          <w:rFonts w:ascii="Arial" w:cs="Arial" w:eastAsia="Arial" w:hAnsi="Arial"/>
          <w:sz w:val="16"/>
          <w:szCs w:val="16"/>
          <w:color w:val="auto"/>
        </w:rPr>
        <w:t>the Collateral Agents will only be able to exercise a power of attorney in any security document following the occurrence of an Enforcement Event or with respect to perfection or further assurance obligations that following request, the relevant obligor has failed to satisfy;</w:t>
      </w:r>
    </w:p>
    <w:p>
      <w:pPr>
        <w:spacing w:after="0" w:line="29" w:lineRule="exact"/>
        <w:rPr>
          <w:rFonts w:ascii="Arial" w:cs="Arial" w:eastAsia="Arial" w:hAnsi="Arial"/>
          <w:sz w:val="16"/>
          <w:szCs w:val="16"/>
          <w:color w:val="auto"/>
        </w:rPr>
      </w:pPr>
    </w:p>
    <w:p>
      <w:pPr>
        <w:ind w:left="1132" w:right="40" w:hanging="565"/>
        <w:spacing w:after="0" w:line="312" w:lineRule="auto"/>
        <w:tabs>
          <w:tab w:leader="none" w:pos="1132" w:val="left"/>
        </w:tabs>
        <w:numPr>
          <w:ilvl w:val="1"/>
          <w:numId w:val="556"/>
        </w:numPr>
        <w:rPr>
          <w:rFonts w:ascii="Arial" w:cs="Arial" w:eastAsia="Arial" w:hAnsi="Arial"/>
          <w:sz w:val="16"/>
          <w:szCs w:val="16"/>
          <w:color w:val="auto"/>
        </w:rPr>
      </w:pPr>
      <w:r>
        <w:rPr>
          <w:rFonts w:ascii="Arial" w:cs="Arial" w:eastAsia="Arial" w:hAnsi="Arial"/>
          <w:sz w:val="16"/>
          <w:szCs w:val="16"/>
          <w:color w:val="auto"/>
        </w:rPr>
        <w:t>no obligor shall be required to provide surveys on real property (unless such surveys already exist in which case there shall be no requirement that such surveys be certified to the Holders) or to remove any encumbrances on title that are reflected in any title insurance or any other existing encumbrances on real property (not including Liens securing Indebtedness of the Company or any of its Restricted Subsidiaries);</w:t>
      </w:r>
    </w:p>
    <w:p>
      <w:pPr>
        <w:spacing w:after="0" w:line="52" w:lineRule="exact"/>
        <w:rPr>
          <w:rFonts w:ascii="Arial" w:cs="Arial" w:eastAsia="Arial" w:hAnsi="Arial"/>
          <w:sz w:val="16"/>
          <w:szCs w:val="16"/>
          <w:color w:val="auto"/>
        </w:rPr>
      </w:pPr>
    </w:p>
    <w:p>
      <w:pPr>
        <w:jc w:val="both"/>
        <w:ind w:left="1132" w:right="300" w:hanging="565"/>
        <w:spacing w:after="0" w:line="286" w:lineRule="auto"/>
        <w:tabs>
          <w:tab w:leader="none" w:pos="1132" w:val="left"/>
        </w:tabs>
        <w:numPr>
          <w:ilvl w:val="1"/>
          <w:numId w:val="556"/>
        </w:numPr>
        <w:rPr>
          <w:rFonts w:ascii="Arial" w:cs="Arial" w:eastAsia="Arial" w:hAnsi="Arial"/>
          <w:sz w:val="17"/>
          <w:szCs w:val="17"/>
          <w:color w:val="auto"/>
        </w:rPr>
      </w:pPr>
      <w:r>
        <w:rPr>
          <w:rFonts w:ascii="Arial" w:cs="Arial" w:eastAsia="Arial" w:hAnsi="Arial"/>
          <w:sz w:val="17"/>
          <w:szCs w:val="17"/>
          <w:color w:val="auto"/>
        </w:rPr>
        <w:t>no obligor shall be required to protect any Liens in the United States prior to the occurrence of an Enforcement Event by means other than customary filings (including UCC-1s, mortgage or deed of trust filings and patent and trademark filings) and delivery of share certificates (accompanied by powers of attorney executed in blank) and any intercompany promissory notes; and</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392"/>
          </w:cols>
          <w:pgMar w:left="248" w:top="274" w:right="259" w:bottom="1440" w:gutter="0" w:footer="0" w:header="0"/>
        </w:sectPr>
      </w:pPr>
    </w:p>
    <w:bookmarkStart w:id="355" w:name="page356"/>
    <w:bookmarkEnd w:id="355"/>
    <w:p>
      <w:pPr>
        <w:ind w:left="1140" w:right="20" w:hanging="565"/>
        <w:spacing w:after="0" w:line="259" w:lineRule="auto"/>
        <w:tabs>
          <w:tab w:leader="none" w:pos="1140" w:val="left"/>
        </w:tabs>
        <w:numPr>
          <w:ilvl w:val="1"/>
          <w:numId w:val="5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such as lists of assets, will be provided if, and only to the extent, required by local law to be provided to protect or create, perfect or register the security and, to the extent so required will be provided annually (unless required to be provided by local law more frequently, but not more frequently than quarterly) and following the occurrence and during the continuance of an Event of Default, on the Collateral Agents’ reasonable request.</w:t>
      </w:r>
    </w:p>
    <w:p>
      <w:pPr>
        <w:spacing w:after="0" w:line="92" w:lineRule="exact"/>
        <w:rPr>
          <w:rFonts w:ascii="Arial" w:cs="Arial" w:eastAsia="Arial" w:hAnsi="Arial"/>
          <w:sz w:val="18"/>
          <w:szCs w:val="18"/>
          <w:color w:val="auto"/>
        </w:rPr>
      </w:pPr>
    </w:p>
    <w:p>
      <w:pPr>
        <w:ind w:left="580" w:hanging="572"/>
        <w:spacing w:after="0"/>
        <w:tabs>
          <w:tab w:leader="none" w:pos="580"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German Guarantor Limitations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following limitations apply to the Guarantees of the Guarantors incorporated in Germany:</w:t>
      </w:r>
    </w:p>
    <w:p>
      <w:pPr>
        <w:spacing w:after="0" w:line="131" w:lineRule="exact"/>
        <w:rPr>
          <w:sz w:val="20"/>
          <w:szCs w:val="20"/>
          <w:color w:val="auto"/>
        </w:rPr>
      </w:pPr>
    </w:p>
    <w:p>
      <w:pPr>
        <w:ind w:left="580" w:hanging="566"/>
        <w:spacing w:after="0" w:line="271"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The right to enforce the guarantee given by a Guarantor incorporated in Germany as a GmbH (a “</w:t>
      </w:r>
      <w:r>
        <w:rPr>
          <w:rFonts w:ascii="Arial" w:cs="Arial" w:eastAsia="Arial" w:hAnsi="Arial"/>
          <w:sz w:val="17"/>
          <w:szCs w:val="17"/>
          <w:i w:val="1"/>
          <w:iCs w:val="1"/>
          <w:color w:val="auto"/>
        </w:rPr>
        <w:t>German Guarantor</w:t>
      </w:r>
      <w:r>
        <w:rPr>
          <w:rFonts w:ascii="Arial" w:cs="Arial" w:eastAsia="Arial" w:hAnsi="Arial"/>
          <w:sz w:val="17"/>
          <w:szCs w:val="17"/>
          <w:color w:val="auto"/>
        </w:rPr>
        <w:t>”) shall be excluded if and to the extent that the Guarantee secures the obligations of an affiliated company (</w:t>
      </w:r>
      <w:r>
        <w:rPr>
          <w:rFonts w:ascii="Arial" w:cs="Arial" w:eastAsia="Arial" w:hAnsi="Arial"/>
          <w:sz w:val="17"/>
          <w:szCs w:val="17"/>
          <w:i w:val="1"/>
          <w:iCs w:val="1"/>
          <w:color w:val="auto"/>
        </w:rPr>
        <w:t>verbundenes Unternehmen</w:t>
      </w:r>
      <w:r>
        <w:rPr>
          <w:rFonts w:ascii="Arial" w:cs="Arial" w:eastAsia="Arial" w:hAnsi="Arial"/>
          <w:sz w:val="17"/>
          <w:szCs w:val="17"/>
          <w:color w:val="auto"/>
        </w:rPr>
        <w:t>) within the meaning of Section 15 of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of such German Guarantor (other than any of the German Guarantor’s direct or indirect subsidiaries), and if and to the extent that (x) the enforcement of the Guarantee would cause such German Guarantor’s assets (the calculation of which shall include all items set forth in section 266(2) A, B and C of the German Commercial Code (</w:t>
      </w:r>
      <w:r>
        <w:rPr>
          <w:rFonts w:ascii="Arial" w:cs="Arial" w:eastAsia="Arial" w:hAnsi="Arial"/>
          <w:sz w:val="17"/>
          <w:szCs w:val="17"/>
          <w:i w:val="1"/>
          <w:iCs w:val="1"/>
          <w:color w:val="auto"/>
        </w:rPr>
        <w:t>Handelsgesetzbuch</w:t>
      </w:r>
      <w:r>
        <w:rPr>
          <w:rFonts w:ascii="Arial" w:cs="Arial" w:eastAsia="Arial" w:hAnsi="Arial"/>
          <w:sz w:val="17"/>
          <w:szCs w:val="17"/>
          <w:color w:val="auto"/>
        </w:rPr>
        <w:t>)) less such German Guarantor’s liabilities (the calculation of which shall include all items set forth in section 266(3) B, C and D of the German Commercial Code) (the “</w:t>
      </w:r>
      <w:r>
        <w:rPr>
          <w:rFonts w:ascii="Arial" w:cs="Arial" w:eastAsia="Arial" w:hAnsi="Arial"/>
          <w:sz w:val="17"/>
          <w:szCs w:val="17"/>
          <w:i w:val="1"/>
          <w:iCs w:val="1"/>
          <w:color w:val="auto"/>
        </w:rPr>
        <w:t>Net Assets</w:t>
      </w:r>
      <w:r>
        <w:rPr>
          <w:rFonts w:ascii="Arial" w:cs="Arial" w:eastAsia="Arial" w:hAnsi="Arial"/>
          <w:sz w:val="17"/>
          <w:szCs w:val="17"/>
          <w:color w:val="auto"/>
        </w:rPr>
        <w:t>”) being less than its registered share capital (</w:t>
      </w:r>
      <w:r>
        <w:rPr>
          <w:rFonts w:ascii="Arial" w:cs="Arial" w:eastAsia="Arial" w:hAnsi="Arial"/>
          <w:sz w:val="17"/>
          <w:szCs w:val="17"/>
          <w:i w:val="1"/>
          <w:iCs w:val="1"/>
          <w:color w:val="auto"/>
        </w:rPr>
        <w:t>Stammkapital</w:t>
      </w:r>
      <w:r>
        <w:rPr>
          <w:rFonts w:ascii="Arial" w:cs="Arial" w:eastAsia="Arial" w:hAnsi="Arial"/>
          <w:sz w:val="17"/>
          <w:szCs w:val="17"/>
          <w:color w:val="auto"/>
        </w:rPr>
        <w:t>) (</w:t>
      </w:r>
      <w:r>
        <w:rPr>
          <w:rFonts w:ascii="Arial" w:cs="Arial" w:eastAsia="Arial" w:hAnsi="Arial"/>
          <w:sz w:val="17"/>
          <w:szCs w:val="17"/>
          <w:i w:val="1"/>
          <w:iCs w:val="1"/>
          <w:color w:val="auto"/>
        </w:rPr>
        <w:t>Begründung einer Unterbilanz</w:t>
      </w:r>
      <w:r>
        <w:rPr>
          <w:rFonts w:ascii="Arial" w:cs="Arial" w:eastAsia="Arial" w:hAnsi="Arial"/>
          <w:sz w:val="17"/>
          <w:szCs w:val="17"/>
          <w:color w:val="auto"/>
        </w:rPr>
        <w:t>) or (y) (if such German Guarantor’s Net Assets are already less than its registered share capital) causing such amount to be further reduced (</w:t>
      </w:r>
      <w:r>
        <w:rPr>
          <w:rFonts w:ascii="Arial" w:cs="Arial" w:eastAsia="Arial" w:hAnsi="Arial"/>
          <w:sz w:val="17"/>
          <w:szCs w:val="17"/>
          <w:i w:val="1"/>
          <w:iCs w:val="1"/>
          <w:color w:val="auto"/>
        </w:rPr>
        <w:t>Vertiefung einer Unterbilanz</w:t>
      </w:r>
      <w:r>
        <w:rPr>
          <w:rFonts w:ascii="Arial" w:cs="Arial" w:eastAsia="Arial" w:hAnsi="Arial"/>
          <w:sz w:val="17"/>
          <w:szCs w:val="17"/>
          <w:color w:val="auto"/>
        </w:rPr>
        <w:t>).</w:t>
      </w:r>
    </w:p>
    <w:p>
      <w:pPr>
        <w:spacing w:after="0" w:line="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 the purposes of such calculation the following balance sheet items shall be adjusted as follows:</w:t>
      </w:r>
    </w:p>
    <w:p>
      <w:pPr>
        <w:spacing w:after="0" w:line="131" w:lineRule="exact"/>
        <w:rPr>
          <w:sz w:val="20"/>
          <w:szCs w:val="20"/>
          <w:color w:val="auto"/>
        </w:rPr>
      </w:pPr>
    </w:p>
    <w:p>
      <w:pPr>
        <w:ind w:left="1140" w:right="80" w:hanging="565"/>
        <w:spacing w:after="0" w:line="264" w:lineRule="auto"/>
        <w:tabs>
          <w:tab w:leader="none" w:pos="114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The amount of the increase of the relevant German Guarantor’s registered share capital out of retained earnings (</w:t>
      </w:r>
      <w:r>
        <w:rPr>
          <w:rFonts w:ascii="Arial" w:cs="Arial" w:eastAsia="Arial" w:hAnsi="Arial"/>
          <w:sz w:val="18"/>
          <w:szCs w:val="18"/>
          <w:i w:val="1"/>
          <w:iCs w:val="1"/>
          <w:color w:val="auto"/>
        </w:rPr>
        <w:t>Kapitalerhöhung aus</w:t>
      </w:r>
      <w:r>
        <w:rPr>
          <w:rFonts w:ascii="Arial" w:cs="Arial" w:eastAsia="Arial" w:hAnsi="Arial"/>
          <w:sz w:val="18"/>
          <w:szCs w:val="18"/>
          <w:color w:val="auto"/>
        </w:rPr>
        <w:t xml:space="preserve"> </w:t>
      </w:r>
      <w:r>
        <w:rPr>
          <w:rFonts w:ascii="Arial" w:cs="Arial" w:eastAsia="Arial" w:hAnsi="Arial"/>
          <w:sz w:val="18"/>
          <w:szCs w:val="18"/>
          <w:i w:val="1"/>
          <w:iCs w:val="1"/>
          <w:color w:val="auto"/>
        </w:rPr>
        <w:t>Gesellschaftsmitteln</w:t>
      </w:r>
      <w:r>
        <w:rPr>
          <w:rFonts w:ascii="Arial" w:cs="Arial" w:eastAsia="Arial" w:hAnsi="Arial"/>
          <w:sz w:val="18"/>
          <w:szCs w:val="18"/>
          <w:color w:val="auto"/>
        </w:rPr>
        <w:t>) after the date of this Agreement that has been effected without the prior written consent of the Trustee (acting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the Holders) shall be deducted from the registered share capital; and</w:t>
      </w:r>
    </w:p>
    <w:p>
      <w:pPr>
        <w:spacing w:after="0" w:line="86" w:lineRule="exact"/>
        <w:rPr>
          <w:rFonts w:ascii="Arial" w:cs="Arial" w:eastAsia="Arial" w:hAnsi="Arial"/>
          <w:sz w:val="18"/>
          <w:szCs w:val="18"/>
          <w:color w:val="auto"/>
        </w:rPr>
      </w:pPr>
    </w:p>
    <w:p>
      <w:pPr>
        <w:ind w:left="1140" w:right="380" w:hanging="565"/>
        <w:spacing w:after="0" w:line="277" w:lineRule="auto"/>
        <w:tabs>
          <w:tab w:leader="none" w:pos="114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Obligations arising out of loans made to the relevant German Guarantor and other liabilities shall be disregarded if and to the extent such loans and other liabilities are subordinated;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559"/>
        </w:numPr>
        <w:rPr>
          <w:rFonts w:ascii="Arial" w:cs="Arial" w:eastAsia="Arial" w:hAnsi="Arial"/>
          <w:sz w:val="17"/>
          <w:szCs w:val="17"/>
          <w:color w:val="auto"/>
        </w:rPr>
      </w:pPr>
      <w:r>
        <w:rPr>
          <w:rFonts w:ascii="Arial" w:cs="Arial" w:eastAsia="Arial" w:hAnsi="Arial"/>
          <w:sz w:val="17"/>
          <w:szCs w:val="17"/>
          <w:color w:val="auto"/>
        </w:rPr>
        <w:t>Loans and other contractual liabilities incurred in violation of the provisions of the Indenture or the Guarantee shall be disregarded; and</w:t>
      </w:r>
    </w:p>
    <w:p>
      <w:pPr>
        <w:spacing w:after="0" w:line="142" w:lineRule="exact"/>
        <w:rPr>
          <w:rFonts w:ascii="Arial" w:cs="Arial" w:eastAsia="Arial" w:hAnsi="Arial"/>
          <w:sz w:val="17"/>
          <w:szCs w:val="17"/>
          <w:color w:val="auto"/>
        </w:rPr>
      </w:pPr>
    </w:p>
    <w:p>
      <w:pPr>
        <w:ind w:left="1140" w:hanging="565"/>
        <w:spacing w:after="0" w:line="279" w:lineRule="auto"/>
        <w:tabs>
          <w:tab w:leader="none" w:pos="1140" w:val="left"/>
        </w:tabs>
        <w:numPr>
          <w:ilvl w:val="0"/>
          <w:numId w:val="559"/>
        </w:numPr>
        <w:rPr>
          <w:rFonts w:ascii="Arial" w:cs="Arial" w:eastAsia="Arial" w:hAnsi="Arial"/>
          <w:sz w:val="17"/>
          <w:szCs w:val="17"/>
          <w:color w:val="auto"/>
        </w:rPr>
      </w:pPr>
      <w:r>
        <w:rPr>
          <w:rFonts w:ascii="Arial" w:cs="Arial" w:eastAsia="Arial" w:hAnsi="Arial"/>
          <w:sz w:val="17"/>
          <w:szCs w:val="17"/>
          <w:color w:val="auto"/>
        </w:rPr>
        <w:t>Claims of the relevant German Guarantor against its shareholders arising out of any upstream loans permitted under the Indenture or the Guarantee shall only be taken into account (</w:t>
      </w:r>
      <w:r>
        <w:rPr>
          <w:rFonts w:ascii="Arial" w:cs="Arial" w:eastAsia="Arial" w:hAnsi="Arial"/>
          <w:sz w:val="17"/>
          <w:szCs w:val="17"/>
          <w:i w:val="1"/>
          <w:iCs w:val="1"/>
          <w:color w:val="auto"/>
        </w:rPr>
        <w:t>aktiviert</w:t>
      </w:r>
      <w:r>
        <w:rPr>
          <w:rFonts w:ascii="Arial" w:cs="Arial" w:eastAsia="Arial" w:hAnsi="Arial"/>
          <w:sz w:val="17"/>
          <w:szCs w:val="17"/>
          <w:color w:val="auto"/>
        </w:rPr>
        <w:t>) if and to the extent this is permitted pursuant to the jurisprudence of the German Federal High Court (</w:t>
      </w:r>
      <w:r>
        <w:rPr>
          <w:rFonts w:ascii="Arial" w:cs="Arial" w:eastAsia="Arial" w:hAnsi="Arial"/>
          <w:sz w:val="17"/>
          <w:szCs w:val="17"/>
          <w:i w:val="1"/>
          <w:iCs w:val="1"/>
          <w:color w:val="auto"/>
        </w:rPr>
        <w:t>Bundesgerichtshof</w:t>
      </w:r>
      <w:r>
        <w:rPr>
          <w:rFonts w:ascii="Arial" w:cs="Arial" w:eastAsia="Arial" w:hAnsi="Arial"/>
          <w:sz w:val="17"/>
          <w:szCs w:val="17"/>
          <w:color w:val="auto"/>
        </w:rPr>
        <w:t>) relating to the permissibility of loans to shareholders under Sections 30 and 31 of the German Limited Liability Companies Act (</w:t>
      </w:r>
      <w:r>
        <w:rPr>
          <w:rFonts w:ascii="Arial" w:cs="Arial" w:eastAsia="Arial" w:hAnsi="Arial"/>
          <w:sz w:val="17"/>
          <w:szCs w:val="17"/>
          <w:i w:val="1"/>
          <w:iCs w:val="1"/>
          <w:color w:val="auto"/>
        </w:rPr>
        <w:t>Gesetz betreffend die Gesellschaften mit beschränkter Haftung</w:t>
      </w:r>
      <w:r>
        <w:rPr>
          <w:rFonts w:ascii="Arial" w:cs="Arial" w:eastAsia="Arial" w:hAnsi="Arial"/>
          <w:sz w:val="17"/>
          <w:szCs w:val="17"/>
          <w:color w:val="auto"/>
        </w:rPr>
        <w:t>).</w:t>
      </w:r>
    </w:p>
    <w:p>
      <w:pPr>
        <w:spacing w:after="0" w:line="77" w:lineRule="exact"/>
        <w:rPr>
          <w:sz w:val="20"/>
          <w:szCs w:val="20"/>
          <w:color w:val="auto"/>
        </w:rPr>
      </w:pPr>
    </w:p>
    <w:p>
      <w:pPr>
        <w:ind w:left="580" w:right="80" w:hanging="566"/>
        <w:spacing w:after="0" w:line="259"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In addition, a German Guarantor shall realize, to the extent legally permitted, in a situation where after enforcement of the Guarantee such German Guarantor would not have Net Assets in excess of its registered share capital, any and all of its assets that are shown in the balance sheet with a book value (</w:t>
      </w:r>
      <w:r>
        <w:rPr>
          <w:rFonts w:ascii="Arial" w:cs="Arial" w:eastAsia="Arial" w:hAnsi="Arial"/>
          <w:sz w:val="18"/>
          <w:szCs w:val="18"/>
          <w:i w:val="1"/>
          <w:iCs w:val="1"/>
          <w:color w:val="auto"/>
        </w:rPr>
        <w:t>Buchwert</w:t>
      </w:r>
      <w:r>
        <w:rPr>
          <w:rFonts w:ascii="Arial" w:cs="Arial" w:eastAsia="Arial" w:hAnsi="Arial"/>
          <w:sz w:val="18"/>
          <w:szCs w:val="18"/>
          <w:color w:val="auto"/>
        </w:rPr>
        <w:t>) that is significantly lower than the market value of the asset if such asset is not necessary for the German business (</w:t>
      </w:r>
      <w:r>
        <w:rPr>
          <w:rFonts w:ascii="Arial" w:cs="Arial" w:eastAsia="Arial" w:hAnsi="Arial"/>
          <w:sz w:val="18"/>
          <w:szCs w:val="18"/>
          <w:i w:val="1"/>
          <w:iCs w:val="1"/>
          <w:color w:val="auto"/>
        </w:rPr>
        <w:t>betriebsnotwendig</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380"/>
          </w:cols>
          <w:pgMar w:left="240" w:top="273" w:right="279" w:bottom="1440" w:gutter="0" w:footer="0" w:header="0"/>
        </w:sectPr>
      </w:pPr>
    </w:p>
    <w:bookmarkStart w:id="356" w:name="page357"/>
    <w:bookmarkEnd w:id="356"/>
    <w:p>
      <w:pPr>
        <w:ind w:left="560" w:hanging="566"/>
        <w:spacing w:after="0" w:line="268"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r>
        <w:rPr>
          <w:sz w:val="20"/>
          <w:szCs w:val="20"/>
          <w:color w:val="auto"/>
        </w:rPr>
        <w:tab/>
      </w:r>
      <w:r>
        <w:rPr>
          <w:rFonts w:ascii="Arial" w:cs="Arial" w:eastAsia="Arial" w:hAnsi="Arial"/>
          <w:sz w:val="17"/>
          <w:szCs w:val="17"/>
          <w:color w:val="auto"/>
        </w:rPr>
        <w:t>The limitations set out in sub-clause (a) above shall only apply (A) if and to the extent that within 5 Business Days following the demand against such German Guarantor under the Guarantee by the relevant Holder and/or the Trustee (the “</w:t>
      </w:r>
      <w:r>
        <w:rPr>
          <w:rFonts w:ascii="Arial" w:cs="Arial" w:eastAsia="Arial" w:hAnsi="Arial"/>
          <w:sz w:val="17"/>
          <w:szCs w:val="17"/>
          <w:i w:val="1"/>
          <w:iCs w:val="1"/>
          <w:color w:val="auto"/>
        </w:rPr>
        <w:t>Guarantee Demand</w:t>
      </w:r>
      <w:r>
        <w:rPr>
          <w:rFonts w:ascii="Arial" w:cs="Arial" w:eastAsia="Arial" w:hAnsi="Arial"/>
          <w:sz w:val="17"/>
          <w:szCs w:val="17"/>
          <w:color w:val="auto"/>
        </w:rPr>
        <w:t>”) the managing directors of the German Guarantor have confirmed to the relevant Holder and/or the Trustee in writing (x) to what extent the Guarantee is an up-stream or cross-stream security and (y) the amount which cannot be enforced as causing the net assets of such German Guarantor, to fall below its stated share capital and such confirmation is supported by interim financial statements up to the end of the last completed calendar month (taking into account the adjustments set out in paragraph sub-clause (ii) above and such confirmation is supported by evidence reasonably satisfactory to the relevant Holder and/or the Trustee (the “</w:t>
      </w:r>
      <w:r>
        <w:rPr>
          <w:rFonts w:ascii="Arial" w:cs="Arial" w:eastAsia="Arial" w:hAnsi="Arial"/>
          <w:sz w:val="17"/>
          <w:szCs w:val="17"/>
          <w:i w:val="1"/>
          <w:iCs w:val="1"/>
          <w:color w:val="auto"/>
        </w:rPr>
        <w:t>Management Determination</w:t>
      </w:r>
      <w:r>
        <w:rPr>
          <w:rFonts w:ascii="Arial" w:cs="Arial" w:eastAsia="Arial" w:hAnsi="Arial"/>
          <w:sz w:val="17"/>
          <w:szCs w:val="17"/>
          <w:color w:val="auto"/>
        </w:rPr>
        <w:t>”) and the relevant Holder and/or the Trustee has (have) not contested this and argued that no or a lesser amount would be necessary to maintain its stated share capital; or (B) within 20 Business Days from the date the relevant Holder and/or the Trustee has (have) contested the Management Determination the relevant Holder and/or the Trustee receive(s) a determination by auditors of international standard and reputation (the “</w:t>
      </w:r>
      <w:r>
        <w:rPr>
          <w:rFonts w:ascii="Arial" w:cs="Arial" w:eastAsia="Arial" w:hAnsi="Arial"/>
          <w:sz w:val="17"/>
          <w:szCs w:val="17"/>
          <w:i w:val="1"/>
          <w:iCs w:val="1"/>
          <w:color w:val="auto"/>
        </w:rPr>
        <w:t>Auditor’s Determination</w:t>
      </w:r>
      <w:r>
        <w:rPr>
          <w:rFonts w:ascii="Arial" w:cs="Arial" w:eastAsia="Arial" w:hAnsi="Arial"/>
          <w:sz w:val="17"/>
          <w:szCs w:val="17"/>
          <w:color w:val="auto"/>
        </w:rPr>
        <w:t>”) as appointed by such German Guarantor of the amount that would have been necessary on the date the Guarantee Demand was made to maintain the German Guarantor stated share capital based on an up to date balance sheet which shall be based on the same accounting principles that were applied when establishing the previous year’s balance sheet and calculated and adjusted in accordance with sub-clauses (i) and (ii) above. If a German Guarantor fails to deliver an Auditor’s Determination within 20 Business Days after the date the relevant Holder and/or the Trustee has (have) contested the Management Determination, the relevant Holder and/or the Trustee shall be entitled to enforce the Guarantee without limitation or restriction.</w:t>
      </w:r>
    </w:p>
    <w:p>
      <w:pPr>
        <w:spacing w:after="0" w:line="89" w:lineRule="exact"/>
        <w:rPr>
          <w:sz w:val="20"/>
          <w:szCs w:val="20"/>
          <w:color w:val="auto"/>
        </w:rPr>
      </w:pPr>
    </w:p>
    <w:p>
      <w:pPr>
        <w:ind w:left="560" w:right="20" w:hanging="566"/>
        <w:spacing w:after="0" w:line="273" w:lineRule="auto"/>
        <w:tabs>
          <w:tab w:leader="none" w:pos="5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If the relevant Holder and/or the Trustee disagree(s) with the Management Determination and/or the Auditor’s Determination, the Guarantee shall be enforceable up to the amount which is undisputed between itself (them) and the relevant German Guarantor. In relation to the amount which is disputed, the relevant Holder and/or the Trustee shall be entitled to further pursue its (their) claims and enforce the Guarantee always subject to sub-clauses (i) to (iv) (inclusive) above and clause (g) below, if it (they) determine(s) in good faith that the financial condition of such German Guarantor as set forth in the Auditor’s Determination and/or the Management Determination has substantially improved (in particular, if such German Guarantor has performed any actions in accordance with sub-clause (iii) above).</w:t>
      </w:r>
    </w:p>
    <w:p>
      <w:pPr>
        <w:spacing w:after="0" w:line="84" w:lineRule="exact"/>
        <w:rPr>
          <w:sz w:val="20"/>
          <w:szCs w:val="20"/>
          <w:color w:val="auto"/>
        </w:rPr>
      </w:pPr>
    </w:p>
    <w:p>
      <w:pPr>
        <w:ind w:left="560" w:right="60" w:hanging="566"/>
        <w:spacing w:after="0" w:line="254" w:lineRule="auto"/>
        <w:tabs>
          <w:tab w:leader="none" w:pos="5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 limitations set out in sub-clause (a) above shall not apply (i) if a domination agreement (</w:t>
      </w:r>
      <w:r>
        <w:rPr>
          <w:rFonts w:ascii="Arial" w:cs="Arial" w:eastAsia="Arial" w:hAnsi="Arial"/>
          <w:sz w:val="18"/>
          <w:szCs w:val="18"/>
          <w:i w:val="1"/>
          <w:iCs w:val="1"/>
          <w:color w:val="auto"/>
        </w:rPr>
        <w:t>Beherrschungsvertrag</w:t>
      </w:r>
      <w:r>
        <w:rPr>
          <w:rFonts w:ascii="Arial" w:cs="Arial" w:eastAsia="Arial" w:hAnsi="Arial"/>
          <w:sz w:val="18"/>
          <w:szCs w:val="18"/>
          <w:color w:val="auto"/>
        </w:rPr>
        <w:t>) and/or a profit absorption agreement (</w:t>
      </w:r>
      <w:r>
        <w:rPr>
          <w:rFonts w:ascii="Arial" w:cs="Arial" w:eastAsia="Arial" w:hAnsi="Arial"/>
          <w:sz w:val="18"/>
          <w:szCs w:val="18"/>
          <w:i w:val="1"/>
          <w:iCs w:val="1"/>
          <w:color w:val="auto"/>
        </w:rPr>
        <w:t>Gewinnabführungsvertrag</w:t>
      </w:r>
      <w:r>
        <w:rPr>
          <w:rFonts w:ascii="Arial" w:cs="Arial" w:eastAsia="Arial" w:hAnsi="Arial"/>
          <w:sz w:val="18"/>
          <w:szCs w:val="18"/>
          <w:color w:val="auto"/>
        </w:rPr>
        <w:t>) is or becomes effective between the relevant German Guarantor and any of its shareholders and any potential loss compensation claim (</w:t>
      </w:r>
      <w:r>
        <w:rPr>
          <w:rFonts w:ascii="Arial" w:cs="Arial" w:eastAsia="Arial" w:hAnsi="Arial"/>
          <w:sz w:val="18"/>
          <w:szCs w:val="18"/>
          <w:i w:val="1"/>
          <w:iCs w:val="1"/>
          <w:color w:val="auto"/>
        </w:rPr>
        <w:t>Verlustausgleichanspruch</w:t>
      </w:r>
      <w:r>
        <w:rPr>
          <w:rFonts w:ascii="Arial" w:cs="Arial" w:eastAsia="Arial" w:hAnsi="Arial"/>
          <w:sz w:val="18"/>
          <w:szCs w:val="18"/>
          <w:color w:val="auto"/>
        </w:rPr>
        <w:t>) of the relevant German Guarantor thereunder or in relation thereto is valuable (</w:t>
      </w:r>
      <w:r>
        <w:rPr>
          <w:rFonts w:ascii="Arial" w:cs="Arial" w:eastAsia="Arial" w:hAnsi="Arial"/>
          <w:sz w:val="18"/>
          <w:szCs w:val="18"/>
          <w:i w:val="1"/>
          <w:iCs w:val="1"/>
          <w:color w:val="auto"/>
        </w:rPr>
        <w:t>vollwertig</w:t>
      </w:r>
      <w:r>
        <w:rPr>
          <w:rFonts w:ascii="Arial" w:cs="Arial" w:eastAsia="Arial" w:hAnsi="Arial"/>
          <w:sz w:val="18"/>
          <w:szCs w:val="18"/>
          <w:color w:val="auto"/>
        </w:rPr>
        <w:t>), (ii) if the relevant German Guarantor’s payment is covered by a valuable recourse claim (</w:t>
      </w:r>
      <w:r>
        <w:rPr>
          <w:rFonts w:ascii="Arial" w:cs="Arial" w:eastAsia="Arial" w:hAnsi="Arial"/>
          <w:sz w:val="18"/>
          <w:szCs w:val="18"/>
          <w:i w:val="1"/>
          <w:iCs w:val="1"/>
          <w:color w:val="auto"/>
        </w:rPr>
        <w:t>vollwertig</w:t>
      </w:r>
      <w:r>
        <w:rPr>
          <w:rFonts w:ascii="Arial" w:cs="Arial" w:eastAsia="Arial" w:hAnsi="Arial"/>
          <w:sz w:val="18"/>
          <w:szCs w:val="18"/>
          <w:color w:val="auto"/>
        </w:rPr>
        <w:t>) against its shareholder or (iii) if and to the extent for any other reason (including as a result of a change in the relevant rules of law) the deficit (</w:t>
      </w:r>
      <w:r>
        <w:rPr>
          <w:rFonts w:ascii="Arial" w:cs="Arial" w:eastAsia="Arial" w:hAnsi="Arial"/>
          <w:sz w:val="18"/>
          <w:szCs w:val="18"/>
          <w:i w:val="1"/>
          <w:iCs w:val="1"/>
          <w:color w:val="auto"/>
        </w:rPr>
        <w:t>Unterbilanz</w:t>
      </w:r>
      <w:r>
        <w:rPr>
          <w:rFonts w:ascii="Arial" w:cs="Arial" w:eastAsia="Arial" w:hAnsi="Arial"/>
          <w:sz w:val="18"/>
          <w:szCs w:val="18"/>
          <w:color w:val="auto"/>
        </w:rPr>
        <w:t>) referred to in sub-clause (a) above does not constitute a breach of the German Guarantor’s obligations to maintain its registered share capital pursuant to sections 30 et seq. of the German Limited Liability Companies Act (</w:t>
      </w:r>
      <w:r>
        <w:rPr>
          <w:rFonts w:ascii="Arial" w:cs="Arial" w:eastAsia="Arial" w:hAnsi="Arial"/>
          <w:sz w:val="18"/>
          <w:szCs w:val="18"/>
          <w:i w:val="1"/>
          <w:iCs w:val="1"/>
          <w:color w:val="auto"/>
        </w:rPr>
        <w:t>Gesetz betreffend die Gesellschaften mit beschränkter Haftung</w:t>
      </w:r>
      <w:r>
        <w:rPr>
          <w:rFonts w:ascii="Arial" w:cs="Arial" w:eastAsia="Arial" w:hAnsi="Arial"/>
          <w:sz w:val="18"/>
          <w:szCs w:val="18"/>
          <w:color w:val="auto"/>
        </w:rPr>
        <w:t>), each as amended, supplemented and/or replaced from time to time.</w:t>
      </w:r>
    </w:p>
    <w:p>
      <w:pPr>
        <w:spacing w:after="0" w:line="98" w:lineRule="exact"/>
        <w:rPr>
          <w:sz w:val="20"/>
          <w:szCs w:val="20"/>
          <w:color w:val="auto"/>
        </w:rPr>
      </w:pPr>
    </w:p>
    <w:p>
      <w:pPr>
        <w:ind w:left="560" w:right="40" w:hanging="566"/>
        <w:spacing w:after="0" w:line="255" w:lineRule="auto"/>
        <w:tabs>
          <w:tab w:leader="none" w:pos="5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Notwithstanding the above provisions, and subject to the following paragraph below, the Guarantee shall not be enforced against a German Guarantor to the extent that such German Guarantor provides constructive evidence that such enforcement will deprive such German Guarantor of the liquidity necessary to fulfil its liabilities to its creditors or otherwise result in a breach of the duty of care owed by the relevant managing director to the respective company (</w:t>
      </w:r>
      <w:r>
        <w:rPr>
          <w:rFonts w:ascii="Arial" w:cs="Arial" w:eastAsia="Arial" w:hAnsi="Arial"/>
          <w:sz w:val="18"/>
          <w:szCs w:val="18"/>
          <w:i w:val="1"/>
          <w:iCs w:val="1"/>
          <w:color w:val="auto"/>
        </w:rPr>
        <w:t>Verbot des existenzvernichtenden Eingriffs, Gebot der Rücksichtnahme auf die Eigenbelange der Gesellschaft</w:t>
      </w:r>
      <w:r>
        <w:rPr>
          <w:rFonts w:ascii="Arial" w:cs="Arial" w:eastAsia="Arial" w:hAnsi="Arial"/>
          <w:sz w:val="18"/>
          <w:szCs w:val="18"/>
          <w:color w:val="auto"/>
        </w:rPr>
        <w:t>) and could reasonably be expected to result in a material risk of personal civil or criminal liability of the relevant managing directors of such German Guarantor or the relevant managing directors of its shareholders.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400"/>
          </w:cols>
          <w:pgMar w:left="260" w:top="274" w:right="239" w:bottom="1440" w:gutter="0" w:footer="0" w:header="0"/>
        </w:sectPr>
      </w:pPr>
    </w:p>
    <w:bookmarkStart w:id="357" w:name="page358"/>
    <w:bookmarkEnd w:id="357"/>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3.8</w:t>
      </w:r>
      <w:r>
        <w:rPr>
          <w:sz w:val="20"/>
          <w:szCs w:val="20"/>
          <w:color w:val="auto"/>
        </w:rPr>
        <w:tab/>
      </w:r>
      <w:r>
        <w:rPr>
          <w:rFonts w:ascii="Arial" w:cs="Arial" w:eastAsia="Arial" w:hAnsi="Arial"/>
          <w:sz w:val="16"/>
          <w:szCs w:val="16"/>
          <w:color w:val="auto"/>
        </w:rPr>
        <w:t>For the avoidance of doubt, nothing in this Schedule shall be interpreted as a restriction or limitation of the enforcement of the Guarantee to the extent</w:t>
      </w:r>
    </w:p>
    <w:p>
      <w:pPr>
        <w:spacing w:after="0" w:line="23" w:lineRule="exact"/>
        <w:rPr>
          <w:sz w:val="20"/>
          <w:szCs w:val="20"/>
          <w:color w:val="auto"/>
        </w:rPr>
      </w:pPr>
    </w:p>
    <w:p>
      <w:pPr>
        <w:ind w:left="580" w:right="560"/>
        <w:spacing w:after="0" w:line="261" w:lineRule="auto"/>
        <w:rPr>
          <w:sz w:val="20"/>
          <w:szCs w:val="20"/>
          <w:color w:val="auto"/>
        </w:rPr>
      </w:pPr>
      <w:r>
        <w:rPr>
          <w:rFonts w:ascii="Arial" w:cs="Arial" w:eastAsia="Arial" w:hAnsi="Arial"/>
          <w:sz w:val="18"/>
          <w:szCs w:val="18"/>
          <w:color w:val="auto"/>
        </w:rPr>
        <w:t>it guarantees the prompt and complete payment and discharge of any and all obligations of a German Guarantor itself or any of its subsidiaries including in each case their legal successors.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400"/>
          </w:cols>
          <w:pgMar w:left="240" w:top="274" w:right="25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1534795" cy="7118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3479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NXP and Freescale Announce Completion of Merger</w:t>
      </w:r>
    </w:p>
    <w:p>
      <w:pPr>
        <w:spacing w:after="0" w:line="23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Eindhoven, The Netherlands and Austin, Texas, Dec 7, 2015</w:t>
      </w:r>
      <w:r>
        <w:rPr>
          <w:rFonts w:ascii="Arial" w:cs="Arial" w:eastAsia="Arial" w:hAnsi="Arial"/>
          <w:sz w:val="18"/>
          <w:szCs w:val="18"/>
          <w:color w:val="auto"/>
        </w:rPr>
        <w:t>—NXP Semiconductors N.V. (NASDAQ: NXPI) and Freescale Semiconductor, Ltd. (NYSE:</w:t>
      </w:r>
      <w:r>
        <w:rPr>
          <w:rFonts w:ascii="Arial" w:cs="Arial" w:eastAsia="Arial" w:hAnsi="Arial"/>
          <w:sz w:val="18"/>
          <w:szCs w:val="18"/>
          <w:b w:val="1"/>
          <w:bCs w:val="1"/>
          <w:color w:val="auto"/>
        </w:rPr>
        <w:t xml:space="preserve"> </w:t>
      </w:r>
      <w:r>
        <w:rPr>
          <w:rFonts w:ascii="Arial" w:cs="Arial" w:eastAsia="Arial" w:hAnsi="Arial"/>
          <w:sz w:val="18"/>
          <w:szCs w:val="18"/>
          <w:color w:val="auto"/>
        </w:rPr>
        <w:t>FSL) today announced the completion of the merger pursuant to the terms of the previously announced merger agreement from March 2015. The merger has created a high performance mixed signal semiconductor industry leader, with combined revenue of over $10 billion. The merged entity will continue operations as NXP Semiconductors N.V. (NASDAQ: NXPI) and has become the market leader in automotive semiconductor solutions and in general purpose microcontroller (MCU) products.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“Through this merger we have created an industry powerhouse focused on the high growth opportunities in the Smarter World, capitalizing on the emerging opportunities offered by the accelerating demand for connectivity, processing and security. Today’s formation of the new NXP is a transformative step on our journey to become the industry leader in high performance mixed signal solutions,” said Rick Clemmer, NXP Chief Executive Officer. “This merger enables us to deliver more complete solutions to our customers as we are emerging as the leader in the Secure Connections – and the supporting infrastructure – for the Smarter World domain. As a result, we reiterate today that we fully expect to continue to significantly out-grow the overall market, drive world-class profitability and generate even more cash, allowing us to continue creating significant value for NXP’s shareholders.”</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previously announced, the transaction is expected to be accretive to NXP non-GAAP earnings in 2016, and NXP anticipates achieving cost savings of $200 million in 2016 with a clear path to $500 million of annual cost synergies.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NXP also today announced the closing of the divestiture of its RF Power business to Jianguang Asset Management Co. Ltd (“JAC Capital”), after receiving official confirmation that JAC Capital has deposited the required funds at its bank in China to pay the purchase price. The cash proceeds for the sale will be received later this month following the required regulatory filings for cross-border transfers of funds from China. NXP has obtained bridge financing until the funds are received.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NXP Semiconductors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NXP Semiconductors N.V. (NASDAQ: NXPI) enables secure connections and infrastructure for a smarter world, advancing solutions that make lives easier, better and safer. As the world leader in secure connectivity solutions for embedded applications, NXP is driving innovation in the secure connected vehicle, end-to-end security &amp; privacy and smart connected solutions markets. Built on more than 60 years of combined experience and expertise, the company has 45,000 employees in more than 35 countries. Find out more at </w:t>
      </w:r>
      <w:r>
        <w:rPr>
          <w:rFonts w:ascii="Arial" w:cs="Arial" w:eastAsia="Arial" w:hAnsi="Arial"/>
          <w:sz w:val="18"/>
          <w:szCs w:val="18"/>
          <w:u w:val="single" w:color="auto"/>
          <w:color w:val="auto"/>
        </w:rPr>
        <w:t>www.nxp.com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statements in this communication regarding the transaction between NXP and Freescale are “forward-looking” statements. The words “anticipate,” “believe,” “ensure,” “expect,” “if,” “intend,” “estimate,” “probable,” “project,” “forecasts,” “predict,” “outlook,” “aim,” “will,” “could,” “should,” “would,” “potential,” “may,” “might,” “anticipate,” “likely,” “plan,” “positioned,” “strategy,” and similar expressions, and the negative thereof, are intended to identify forward-looking statements. These forward-looking statements, which are subject to numerous factors, risks and uncertainties about NXP and Freescale, may include projections of their respective future business, strategies, financial condition, results of operations and market data. These statements are only predictions based on current expectations and projections about future events. There are important factors, risks and uncertainties that could cause actual outcomes and results to be materially different from those projected, including the risk factors set forth in the definitive joint proxy statement/prospectus, NXP’s most recent Form 20-F and Freescale’s most recent reports on Form 10-K, Form 10-Q and other documents on file with the SEC and the factors given below:</w:t>
      </w:r>
    </w:p>
    <w:p>
      <w:pPr>
        <w:spacing w:after="0" w:line="103" w:lineRule="exact"/>
        <w:rPr>
          <w:sz w:val="20"/>
          <w:szCs w:val="20"/>
          <w:color w:val="auto"/>
        </w:rPr>
      </w:pPr>
    </w:p>
    <w:p>
      <w:pPr>
        <w:ind w:left="900" w:hanging="325"/>
        <w:spacing w:after="0"/>
        <w:tabs>
          <w:tab w:leader="none" w:pos="9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NXP’s and Freescale’s ability to achieve the synergies and value creation contemplated by the transaction;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ability of either NXP or Freescale to effectively integrate their businesses;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diversion of management time on transaction-related issues.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Freescale’s and NXP’s forward-looking statements are based on assumptions that may not prove to be accurate. Neither Freescale nor NXP can guarantee future results, level of activity, performance or achievements. Moreover, neither Freescale nor NXP assumes responsibility for the accuracy and completeness of any of these forward-looking statements. Freescale and NXP assume no obligation to update or revise any forward-looking statements as a result of new information, future events or otherwise. Readers are cautioned not to place undue reliance on these forward-looking statements that speak only as of the date 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2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Investor Relations:</w:t>
            </w:r>
          </w:p>
        </w:tc>
        <w:tc>
          <w:tcPr>
            <w:tcW w:w="4460" w:type="dxa"/>
            <w:vAlign w:val="bottom"/>
            <w:gridSpan w:val="3"/>
          </w:tcPr>
          <w:p>
            <w:pPr>
              <w:ind w:left="2420"/>
              <w:spacing w:after="0"/>
              <w:rPr>
                <w:sz w:val="20"/>
                <w:szCs w:val="20"/>
                <w:color w:val="auto"/>
              </w:rPr>
            </w:pPr>
            <w:r>
              <w:rPr>
                <w:rFonts w:ascii="Arial" w:cs="Arial" w:eastAsia="Arial" w:hAnsi="Arial"/>
                <w:sz w:val="18"/>
                <w:szCs w:val="18"/>
                <w:b w:val="1"/>
                <w:bCs w:val="1"/>
                <w:color w:val="auto"/>
              </w:rPr>
              <w:t>Media Relations:</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Jeff Palmer</w:t>
            </w:r>
          </w:p>
        </w:tc>
        <w:tc>
          <w:tcPr>
            <w:tcW w:w="4460" w:type="dxa"/>
            <w:vAlign w:val="bottom"/>
            <w:gridSpan w:val="3"/>
          </w:tcPr>
          <w:p>
            <w:pPr>
              <w:ind w:left="2420"/>
              <w:spacing w:after="0"/>
              <w:rPr>
                <w:sz w:val="20"/>
                <w:szCs w:val="20"/>
                <w:color w:val="auto"/>
              </w:rPr>
            </w:pPr>
            <w:r>
              <w:rPr>
                <w:rFonts w:ascii="Arial" w:cs="Arial" w:eastAsia="Arial" w:hAnsi="Arial"/>
                <w:sz w:val="18"/>
                <w:szCs w:val="18"/>
                <w:color w:val="auto"/>
              </w:rPr>
              <w:t>Joon Knapen</w:t>
            </w:r>
          </w:p>
        </w:tc>
      </w:tr>
      <w:tr>
        <w:trPr>
          <w:trHeight w:val="190"/>
        </w:trPr>
        <w:tc>
          <w:tcPr>
            <w:tcW w:w="5480" w:type="dxa"/>
            <w:vAlign w:val="bottom"/>
            <w:gridSpan w:val="3"/>
          </w:tcPr>
          <w:p>
            <w:pPr>
              <w:spacing w:after="0" w:line="190" w:lineRule="exact"/>
              <w:rPr>
                <w:sz w:val="20"/>
                <w:szCs w:val="20"/>
                <w:color w:val="auto"/>
              </w:rPr>
            </w:pPr>
            <w:r>
              <w:rPr>
                <w:rFonts w:ascii="Arial" w:cs="Arial" w:eastAsia="Arial" w:hAnsi="Arial"/>
                <w:sz w:val="18"/>
                <w:szCs w:val="18"/>
                <w:color w:val="auto"/>
              </w:rPr>
              <w:t>jeff.palmer@nxp.com</w:t>
            </w:r>
          </w:p>
        </w:tc>
        <w:tc>
          <w:tcPr>
            <w:tcW w:w="4460" w:type="dxa"/>
            <w:vAlign w:val="bottom"/>
            <w:gridSpan w:val="3"/>
          </w:tcPr>
          <w:p>
            <w:pPr>
              <w:ind w:left="2420"/>
              <w:spacing w:after="0" w:line="190" w:lineRule="exact"/>
              <w:rPr>
                <w:sz w:val="20"/>
                <w:szCs w:val="20"/>
                <w:color w:val="auto"/>
              </w:rPr>
            </w:pPr>
            <w:r>
              <w:rPr>
                <w:rFonts w:ascii="Arial" w:cs="Arial" w:eastAsia="Arial" w:hAnsi="Arial"/>
                <w:sz w:val="18"/>
                <w:szCs w:val="18"/>
                <w:color w:val="auto"/>
              </w:rPr>
              <w:t>joon.knapen@nxp.com</w:t>
            </w:r>
          </w:p>
        </w:tc>
      </w:tr>
      <w:tr>
        <w:trPr>
          <w:trHeight w:val="20"/>
        </w:trPr>
        <w:tc>
          <w:tcPr>
            <w:tcW w:w="1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1580" w:type="dxa"/>
            <w:vAlign w:val="bottom"/>
          </w:tcPr>
          <w:p>
            <w:pPr>
              <w:spacing w:after="0"/>
              <w:rPr>
                <w:sz w:val="20"/>
                <w:szCs w:val="20"/>
                <w:color w:val="auto"/>
              </w:rPr>
            </w:pPr>
            <w:r>
              <w:rPr>
                <w:rFonts w:ascii="Arial" w:cs="Arial" w:eastAsia="Arial" w:hAnsi="Arial"/>
                <w:sz w:val="18"/>
                <w:szCs w:val="18"/>
                <w:color w:val="auto"/>
              </w:rPr>
              <w:t>+1 408 518 5411</w:t>
            </w:r>
          </w:p>
        </w:tc>
        <w:tc>
          <w:tcPr>
            <w:tcW w:w="4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00" w:type="dxa"/>
            <w:vAlign w:val="bottom"/>
            <w:gridSpan w:val="2"/>
          </w:tcPr>
          <w:p>
            <w:pPr>
              <w:ind w:left="2420"/>
              <w:spacing w:after="0"/>
              <w:rPr>
                <w:sz w:val="20"/>
                <w:szCs w:val="20"/>
                <w:color w:val="auto"/>
              </w:rPr>
            </w:pPr>
            <w:r>
              <w:rPr>
                <w:rFonts w:ascii="Arial" w:cs="Arial" w:eastAsia="Arial" w:hAnsi="Arial"/>
                <w:sz w:val="18"/>
                <w:szCs w:val="18"/>
                <w:color w:val="auto"/>
              </w:rPr>
              <w:t>+49 151 257 43 299</w:t>
            </w:r>
          </w:p>
        </w:tc>
        <w:tc>
          <w:tcPr>
            <w:tcW w:w="360" w:type="dxa"/>
            <w:vAlign w:val="bottom"/>
          </w:tcPr>
          <w:p>
            <w:pPr>
              <w:spacing w:after="0"/>
              <w:rPr>
                <w:sz w:val="20"/>
                <w:szCs w:val="20"/>
                <w:color w:val="auto"/>
              </w:rPr>
            </w:pPr>
          </w:p>
        </w:tc>
      </w:tr>
      <w:tr>
        <w:trPr>
          <w:trHeight w:val="634"/>
        </w:trPr>
        <w:tc>
          <w:tcPr>
            <w:tcW w:w="5480" w:type="dxa"/>
            <w:vAlign w:val="bottom"/>
            <w:gridSpan w:val="3"/>
          </w:tcPr>
          <w:p>
            <w:pPr>
              <w:spacing w:after="0"/>
              <w:rPr>
                <w:sz w:val="20"/>
                <w:szCs w:val="20"/>
                <w:color w:val="auto"/>
              </w:rPr>
            </w:pPr>
            <w:r>
              <w:rPr>
                <w:rFonts w:ascii="Arial" w:cs="Arial" w:eastAsia="Arial" w:hAnsi="Arial"/>
                <w:sz w:val="18"/>
                <w:szCs w:val="18"/>
                <w:color w:val="auto"/>
              </w:rPr>
              <w:t>Mitch Haws</w:t>
            </w:r>
          </w:p>
        </w:tc>
        <w:tc>
          <w:tcPr>
            <w:tcW w:w="4460" w:type="dxa"/>
            <w:vAlign w:val="bottom"/>
            <w:gridSpan w:val="3"/>
          </w:tcPr>
          <w:p>
            <w:pPr>
              <w:ind w:left="2420"/>
              <w:spacing w:after="0"/>
              <w:rPr>
                <w:sz w:val="20"/>
                <w:szCs w:val="20"/>
                <w:color w:val="auto"/>
              </w:rPr>
            </w:pPr>
            <w:r>
              <w:rPr>
                <w:rFonts w:ascii="Arial" w:cs="Arial" w:eastAsia="Arial" w:hAnsi="Arial"/>
                <w:sz w:val="18"/>
                <w:szCs w:val="18"/>
                <w:color w:val="auto"/>
              </w:rPr>
              <w:t>Jacey Zuniga</w:t>
            </w:r>
          </w:p>
        </w:tc>
      </w:tr>
      <w:tr>
        <w:trPr>
          <w:trHeight w:val="190"/>
        </w:trPr>
        <w:tc>
          <w:tcPr>
            <w:tcW w:w="2000" w:type="dxa"/>
            <w:vAlign w:val="bottom"/>
            <w:gridSpan w:val="2"/>
          </w:tcPr>
          <w:p>
            <w:pPr>
              <w:spacing w:after="0" w:line="190" w:lineRule="exact"/>
              <w:rPr>
                <w:sz w:val="20"/>
                <w:szCs w:val="20"/>
                <w:color w:val="auto"/>
              </w:rPr>
            </w:pPr>
            <w:r>
              <w:rPr>
                <w:rFonts w:ascii="Arial" w:cs="Arial" w:eastAsia="Arial" w:hAnsi="Arial"/>
                <w:sz w:val="18"/>
                <w:szCs w:val="18"/>
                <w:color w:val="auto"/>
                <w:w w:val="89"/>
              </w:rPr>
              <w:t>mitch.haws@freescale.com</w:t>
            </w:r>
          </w:p>
        </w:tc>
        <w:tc>
          <w:tcPr>
            <w:tcW w:w="3480" w:type="dxa"/>
            <w:vAlign w:val="bottom"/>
          </w:tcPr>
          <w:p>
            <w:pPr>
              <w:spacing w:after="0"/>
              <w:rPr>
                <w:sz w:val="16"/>
                <w:szCs w:val="16"/>
                <w:color w:val="auto"/>
              </w:rPr>
            </w:pPr>
          </w:p>
        </w:tc>
        <w:tc>
          <w:tcPr>
            <w:tcW w:w="4460" w:type="dxa"/>
            <w:vAlign w:val="bottom"/>
            <w:gridSpan w:val="3"/>
          </w:tcPr>
          <w:p>
            <w:pPr>
              <w:ind w:left="2420"/>
              <w:spacing w:after="0" w:line="190" w:lineRule="exact"/>
              <w:rPr>
                <w:sz w:val="20"/>
                <w:szCs w:val="20"/>
                <w:color w:val="auto"/>
              </w:rPr>
            </w:pPr>
            <w:r>
              <w:rPr>
                <w:rFonts w:ascii="Arial" w:cs="Arial" w:eastAsia="Arial" w:hAnsi="Arial"/>
                <w:sz w:val="18"/>
                <w:szCs w:val="18"/>
                <w:color w:val="auto"/>
                <w:w w:val="87"/>
              </w:rPr>
              <w:t>jacey.zuniga@freescale.com</w:t>
            </w:r>
          </w:p>
        </w:tc>
      </w:tr>
      <w:tr>
        <w:trPr>
          <w:trHeight w:val="20"/>
        </w:trPr>
        <w:tc>
          <w:tcPr>
            <w:tcW w:w="1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37"/>
        </w:trPr>
        <w:tc>
          <w:tcPr>
            <w:tcW w:w="1580" w:type="dxa"/>
            <w:vAlign w:val="bottom"/>
          </w:tcPr>
          <w:p>
            <w:pPr>
              <w:spacing w:after="0"/>
              <w:rPr>
                <w:sz w:val="20"/>
                <w:szCs w:val="20"/>
                <w:color w:val="auto"/>
              </w:rPr>
            </w:pPr>
            <w:r>
              <w:rPr>
                <w:rFonts w:ascii="Arial" w:cs="Arial" w:eastAsia="Arial" w:hAnsi="Arial"/>
                <w:sz w:val="18"/>
                <w:szCs w:val="18"/>
                <w:color w:val="auto"/>
              </w:rPr>
              <w:t>+1 512 895 2454</w:t>
            </w:r>
          </w:p>
        </w:tc>
        <w:tc>
          <w:tcPr>
            <w:tcW w:w="4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00" w:type="dxa"/>
            <w:vAlign w:val="bottom"/>
            <w:gridSpan w:val="2"/>
          </w:tcPr>
          <w:p>
            <w:pPr>
              <w:ind w:left="2420"/>
              <w:spacing w:after="0"/>
              <w:rPr>
                <w:sz w:val="20"/>
                <w:szCs w:val="20"/>
                <w:color w:val="auto"/>
              </w:rPr>
            </w:pPr>
            <w:r>
              <w:rPr>
                <w:rFonts w:ascii="Arial" w:cs="Arial" w:eastAsia="Arial" w:hAnsi="Arial"/>
                <w:sz w:val="18"/>
                <w:szCs w:val="18"/>
                <w:color w:val="auto"/>
              </w:rPr>
              <w:t>+1 512 895 7398</w:t>
            </w:r>
          </w:p>
        </w:tc>
        <w:tc>
          <w:tcPr>
            <w:tcW w:w="3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125" w:right="239" w:bottom="71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9EC322"/>
    <w:multiLevelType w:val="hybridMultilevel"/>
    <w:lvl w:ilvl="0">
      <w:lvlJc w:val="left"/>
      <w:lvlText w:val="☐"/>
      <w:numFmt w:val="bullet"/>
      <w:start w:val="1"/>
    </w:lvl>
  </w:abstractNum>
  <w:abstractNum w:abstractNumId="1">
    <w:nsid w:val="3410ED56"/>
    <w:multiLevelType w:val="hybridMultilevel"/>
    <w:lvl w:ilvl="0">
      <w:lvlJc w:val="left"/>
      <w:lvlText w:val="(%1)"/>
      <w:numFmt w:val="lowerLetter"/>
      <w:start w:val="4"/>
    </w:lvl>
  </w:abstractNum>
  <w:abstractNum w:abstractNumId="2">
    <w:nsid w:val="23C049A"/>
    <w:multiLevelType w:val="hybridMultilevel"/>
    <w:lvl w:ilvl="0">
      <w:lvlJc w:val="left"/>
      <w:lvlText w:val="%1."/>
      <w:numFmt w:val="decimal"/>
      <w:start w:val="1"/>
    </w:lvl>
  </w:abstractNum>
  <w:abstractNum w:abstractNumId="3">
    <w:nsid w:val="5BDA35D4"/>
    <w:multiLevelType w:val="hybridMultilevel"/>
    <w:lvl w:ilvl="0">
      <w:lvlJc w:val="left"/>
      <w:lvlText w:val="%1."/>
      <w:numFmt w:val="decimal"/>
      <w:start w:val="3"/>
    </w:lvl>
  </w:abstractNum>
  <w:abstractNum w:abstractNumId="4">
    <w:nsid w:val="496FB218"/>
    <w:multiLevelType w:val="hybridMultilevel"/>
    <w:lvl w:ilvl="0">
      <w:lvlJc w:val="left"/>
      <w:lvlText w:val="%1."/>
      <w:numFmt w:val="decimal"/>
      <w:start w:val="5"/>
    </w:lvl>
    <w:lvl w:ilvl="1">
      <w:lvlJc w:val="left"/>
      <w:lvlText w:val="(%2)"/>
      <w:numFmt w:val="lowerRoman"/>
      <w:start w:val="1"/>
    </w:lvl>
  </w:abstractNum>
  <w:abstractNum w:abstractNumId="5">
    <w:nsid w:val="680EA5D1"/>
    <w:multiLevelType w:val="hybridMultilevel"/>
    <w:lvl w:ilvl="0">
      <w:lvlJc w:val="left"/>
      <w:lvlText w:val="%1."/>
      <w:numFmt w:val="decimal"/>
      <w:start w:val="1"/>
    </w:lvl>
  </w:abstractNum>
  <w:abstractNum w:abstractNumId="6">
    <w:nsid w:val="4A9554FE"/>
    <w:multiLevelType w:val="hybridMultilevel"/>
    <w:lvl w:ilvl="0">
      <w:lvlJc w:val="left"/>
      <w:lvlText w:val="(%1)"/>
      <w:numFmt w:val="lowerLetter"/>
      <w:start w:val="1"/>
    </w:lvl>
  </w:abstractNum>
  <w:abstractNum w:abstractNumId="7">
    <w:nsid w:val="392EDBE4"/>
    <w:multiLevelType w:val="hybridMultilevel"/>
    <w:lvl w:ilvl="0">
      <w:lvlJc w:val="left"/>
      <w:lvlText w:val="%1."/>
      <w:numFmt w:val="decimal"/>
      <w:start w:val="2"/>
    </w:lvl>
  </w:abstractNum>
  <w:abstractNum w:abstractNumId="8">
    <w:nsid w:val="3D1A2DD9"/>
    <w:multiLevelType w:val="hybridMultilevel"/>
    <w:lvl w:ilvl="0">
      <w:lvlJc w:val="left"/>
      <w:lvlText w:val="%1."/>
      <w:numFmt w:val="decimal"/>
      <w:start w:val="3"/>
    </w:lvl>
  </w:abstractNum>
  <w:abstractNum w:abstractNumId="9">
    <w:nsid w:val="7F618FCD"/>
    <w:multiLevelType w:val="hybridMultilevel"/>
    <w:lvl w:ilvl="0">
      <w:lvlJc w:val="left"/>
      <w:lvlText w:val="%1."/>
      <w:numFmt w:val="decimal"/>
      <w:start w:val="6"/>
    </w:lvl>
  </w:abstractNum>
  <w:abstractNum w:abstractNumId="10">
    <w:nsid w:val="7843E45"/>
    <w:multiLevelType w:val="hybridMultilevel"/>
    <w:lvl w:ilvl="0">
      <w:lvlJc w:val="left"/>
      <w:lvlText w:val="%1."/>
      <w:numFmt w:val="decimal"/>
      <w:start w:val="10"/>
    </w:lvl>
  </w:abstractNum>
  <w:abstractNum w:abstractNumId="11">
    <w:nsid w:val="9815DA3"/>
    <w:multiLevelType w:val="hybridMultilevel"/>
    <w:lvl w:ilvl="0">
      <w:lvlJc w:val="left"/>
      <w:lvlText w:val="%1."/>
      <w:numFmt w:val="decimal"/>
      <w:start w:val="12"/>
    </w:lvl>
  </w:abstractNum>
  <w:abstractNum w:abstractNumId="12">
    <w:nsid w:val="5204A191"/>
    <w:multiLevelType w:val="hybridMultilevel"/>
    <w:lvl w:ilvl="0">
      <w:lvlJc w:val="left"/>
      <w:lvlText w:val="%1."/>
      <w:numFmt w:val="decimal"/>
      <w:start w:val="13"/>
    </w:lvl>
  </w:abstractNum>
  <w:abstractNum w:abstractNumId="13">
    <w:nsid w:val="4C73A9C6"/>
    <w:multiLevelType w:val="hybridMultilevel"/>
    <w:lvl w:ilvl="0">
      <w:lvlJc w:val="left"/>
      <w:lvlText w:val="%1."/>
      <w:numFmt w:val="decimal"/>
      <w:start w:val="16"/>
    </w:lvl>
  </w:abstractNum>
  <w:abstractNum w:abstractNumId="14">
    <w:nsid w:val="1C7E3C01"/>
    <w:multiLevelType w:val="hybridMultilevel"/>
    <w:lvl w:ilvl="0">
      <w:lvlJc w:val="left"/>
      <w:lvlText w:val="%1."/>
      <w:numFmt w:val="decimal"/>
      <w:start w:val="18"/>
    </w:lvl>
  </w:abstractNum>
  <w:abstractNum w:abstractNumId="15">
    <w:nsid w:val="1C2201FF"/>
    <w:multiLevelType w:val="hybridMultilevel"/>
    <w:lvl w:ilvl="0">
      <w:lvlJc w:val="left"/>
      <w:lvlText w:val="%1."/>
      <w:numFmt w:val="decimal"/>
      <w:start w:val="20"/>
    </w:lvl>
  </w:abstractNum>
  <w:abstractNum w:abstractNumId="16">
    <w:nsid w:val="50ABCEC9"/>
    <w:multiLevelType w:val="hybridMultilevel"/>
    <w:lvl w:ilvl="0">
      <w:lvlJc w:val="left"/>
      <w:lvlText w:val="(%1)"/>
      <w:numFmt w:val="lowerLetter"/>
      <w:start w:val="1"/>
    </w:lvl>
  </w:abstractNum>
  <w:abstractNum w:abstractNumId="17">
    <w:nsid w:val="7635AA2A"/>
    <w:multiLevelType w:val="hybridMultilevel"/>
    <w:lvl w:ilvl="0">
      <w:lvlJc w:val="left"/>
      <w:lvlText w:val="%1."/>
      <w:numFmt w:val="decimal"/>
      <w:start w:val="21"/>
    </w:lvl>
    <w:lvl w:ilvl="1">
      <w:lvlJc w:val="left"/>
      <w:lvlText w:val="(%2)"/>
      <w:numFmt w:val="lowerLetter"/>
      <w:start w:val="1"/>
    </w:lvl>
  </w:abstractNum>
  <w:abstractNum w:abstractNumId="18">
    <w:nsid w:val="5E74C4D9"/>
    <w:multiLevelType w:val="hybridMultilevel"/>
    <w:lvl w:ilvl="0">
      <w:lvlJc w:val="left"/>
      <w:lvlText w:val="%1."/>
      <w:numFmt w:val="decimal"/>
      <w:start w:val="24"/>
    </w:lvl>
  </w:abstractNum>
  <w:abstractNum w:abstractNumId="19">
    <w:nsid w:val="3B3EBE15"/>
    <w:multiLevelType w:val="hybridMultilevel"/>
    <w:lvl w:ilvl="0">
      <w:lvlJc w:val="left"/>
      <w:lvlText w:val="%1."/>
      <w:numFmt w:val="decimal"/>
      <w:start w:val="32"/>
    </w:lvl>
    <w:lvl w:ilvl="1">
      <w:lvlJc w:val="left"/>
      <w:lvlText w:val="(%2)"/>
      <w:numFmt w:val="lowerLetter"/>
      <w:start w:val="1"/>
    </w:lvl>
  </w:abstractNum>
  <w:abstractNum w:abstractNumId="20">
    <w:nsid w:val="3822CB01"/>
    <w:multiLevelType w:val="hybridMultilevel"/>
    <w:lvl w:ilvl="0">
      <w:lvlJc w:val="left"/>
      <w:lvlText w:val="%1"/>
      <w:numFmt w:val="decimal"/>
      <w:start w:val="1"/>
    </w:lvl>
    <w:lvl w:ilvl="1">
      <w:lvlJc w:val="left"/>
      <w:lvlText w:val="(%2)"/>
      <w:numFmt w:val="lowerLetter"/>
      <w:start w:val="1"/>
    </w:lvl>
  </w:abstractNum>
  <w:abstractNum w:abstractNumId="21">
    <w:nsid w:val="6CE00443"/>
    <w:multiLevelType w:val="hybridMultilevel"/>
    <w:lvl w:ilvl="0">
      <w:lvlJc w:val="left"/>
      <w:lvlText w:val="%1."/>
      <w:numFmt w:val="decimal"/>
      <w:start w:val="33"/>
    </w:lvl>
    <w:lvl w:ilvl="1">
      <w:lvlJc w:val="left"/>
      <w:lvlText w:val="(%2)"/>
      <w:numFmt w:val="lowerLetter"/>
      <w:start w:val="1"/>
    </w:lvl>
  </w:abstractNum>
  <w:abstractNum w:abstractNumId="22">
    <w:nsid w:val="79F0D62F"/>
    <w:multiLevelType w:val="hybridMultilevel"/>
    <w:lvl w:ilvl="0">
      <w:lvlJc w:val="left"/>
      <w:lvlText w:val="%1."/>
      <w:numFmt w:val="decimal"/>
      <w:start w:val="36"/>
    </w:lvl>
  </w:abstractNum>
  <w:abstractNum w:abstractNumId="23">
    <w:nsid w:val="7975E8EE"/>
    <w:multiLevelType w:val="hybridMultilevel"/>
    <w:lvl w:ilvl="0">
      <w:lvlJc w:val="left"/>
      <w:lvlText w:val="(%1)"/>
      <w:numFmt w:val="lowerLetter"/>
      <w:start w:val="1"/>
    </w:lvl>
  </w:abstractNum>
  <w:abstractNum w:abstractNumId="24">
    <w:nsid w:val="73154115"/>
    <w:multiLevelType w:val="hybridMultilevel"/>
    <w:lvl w:ilvl="0">
      <w:lvlJc w:val="left"/>
      <w:lvlText w:val="%1."/>
      <w:numFmt w:val="decimal"/>
      <w:start w:val="38"/>
    </w:lvl>
    <w:lvl w:ilvl="1">
      <w:lvlJc w:val="left"/>
      <w:lvlText w:val="(%2)"/>
      <w:numFmt w:val="lowerLetter"/>
      <w:start w:val="1"/>
    </w:lvl>
  </w:abstractNum>
  <w:abstractNum w:abstractNumId="25">
    <w:nsid w:val="622D8102"/>
    <w:multiLevelType w:val="hybridMultilevel"/>
    <w:lvl w:ilvl="0">
      <w:lvlJc w:val="left"/>
      <w:lvlText w:val="%1."/>
      <w:numFmt w:val="decimal"/>
      <w:start w:val="41"/>
    </w:lvl>
  </w:abstractNum>
  <w:abstractNum w:abstractNumId="26">
    <w:nsid w:val="2AB26587"/>
    <w:multiLevelType w:val="hybridMultilevel"/>
    <w:lvl w:ilvl="0">
      <w:lvlJc w:val="left"/>
      <w:lvlText w:val="%1."/>
      <w:numFmt w:val="decimal"/>
      <w:start w:val="44"/>
    </w:lvl>
  </w:abstractNum>
  <w:abstractNum w:abstractNumId="27">
    <w:nsid w:val="44B3FA61"/>
    <w:multiLevelType w:val="hybridMultilevel"/>
    <w:lvl w:ilvl="0">
      <w:lvlJc w:val="left"/>
      <w:lvlText w:val="%1."/>
      <w:numFmt w:val="decimal"/>
      <w:start w:val="50"/>
    </w:lvl>
  </w:abstractNum>
  <w:abstractNum w:abstractNumId="28">
    <w:nsid w:val="1C0CA67C"/>
    <w:multiLevelType w:val="hybridMultilevel"/>
    <w:lvl w:ilvl="0">
      <w:lvlJc w:val="left"/>
      <w:lvlText w:val="%1."/>
      <w:numFmt w:val="decimal"/>
      <w:start w:val="54"/>
    </w:lvl>
  </w:abstractNum>
  <w:abstractNum w:abstractNumId="29">
    <w:nsid w:val="3D206613"/>
    <w:multiLevelType w:val="hybridMultilevel"/>
    <w:lvl w:ilvl="0">
      <w:lvlJc w:val="left"/>
      <w:lvlText w:val="%1."/>
      <w:numFmt w:val="decimal"/>
      <w:start w:val="59"/>
    </w:lvl>
  </w:abstractNum>
  <w:abstractNum w:abstractNumId="30">
    <w:nsid w:val="7993B662"/>
    <w:multiLevelType w:val="hybridMultilevel"/>
    <w:lvl w:ilvl="0">
      <w:lvlJc w:val="left"/>
      <w:lvlText w:val="%1."/>
      <w:numFmt w:val="decimal"/>
      <w:start w:val="61"/>
    </w:lvl>
    <w:lvl w:ilvl="1">
      <w:lvlJc w:val="left"/>
      <w:lvlText w:val="(%2)"/>
      <w:numFmt w:val="lowerLetter"/>
      <w:start w:val="1"/>
    </w:lvl>
  </w:abstractNum>
  <w:abstractNum w:abstractNumId="31">
    <w:nsid w:val="3BAB699E"/>
    <w:multiLevelType w:val="hybridMultilevel"/>
    <w:lvl w:ilvl="0">
      <w:lvlJc w:val="left"/>
      <w:lvlText w:val="%1."/>
      <w:numFmt w:val="decimal"/>
      <w:start w:val="63"/>
    </w:lvl>
  </w:abstractNum>
  <w:abstractNum w:abstractNumId="32">
    <w:nsid w:val="71315369"/>
    <w:multiLevelType w:val="hybridMultilevel"/>
    <w:lvl w:ilvl="0">
      <w:lvlJc w:val="left"/>
      <w:lvlText w:val="%1."/>
      <w:numFmt w:val="decimal"/>
      <w:start w:val="65"/>
    </w:lvl>
  </w:abstractNum>
  <w:abstractNum w:abstractNumId="33">
    <w:nsid w:val="7BCFBAFC"/>
    <w:multiLevelType w:val="hybridMultilevel"/>
    <w:lvl w:ilvl="0">
      <w:lvlJc w:val="left"/>
      <w:lvlText w:val="%1."/>
      <w:numFmt w:val="decimal"/>
      <w:start w:val="69"/>
    </w:lvl>
  </w:abstractNum>
  <w:abstractNum w:abstractNumId="34">
    <w:nsid w:val="17859F72"/>
    <w:multiLevelType w:val="hybridMultilevel"/>
    <w:lvl w:ilvl="0">
      <w:lvlJc w:val="left"/>
      <w:lvlText w:val="%1."/>
      <w:numFmt w:val="decimal"/>
      <w:start w:val="70"/>
    </w:lvl>
  </w:abstractNum>
  <w:abstractNum w:abstractNumId="35">
    <w:nsid w:val="3AA10581"/>
    <w:multiLevelType w:val="hybridMultilevel"/>
    <w:lvl w:ilvl="0">
      <w:lvlJc w:val="left"/>
      <w:lvlText w:val="%1."/>
      <w:numFmt w:val="decimal"/>
      <w:start w:val="71"/>
    </w:lvl>
  </w:abstractNum>
  <w:abstractNum w:abstractNumId="36">
    <w:nsid w:val="63DE60CD"/>
    <w:multiLevelType w:val="hybridMultilevel"/>
    <w:lvl w:ilvl="0">
      <w:lvlJc w:val="left"/>
      <w:lvlText w:val="%1."/>
      <w:numFmt w:val="decimal"/>
      <w:start w:val="74"/>
    </w:lvl>
  </w:abstractNum>
  <w:abstractNum w:abstractNumId="37">
    <w:nsid w:val="621AF471"/>
    <w:multiLevelType w:val="hybridMultilevel"/>
    <w:lvl w:ilvl="0">
      <w:lvlJc w:val="left"/>
      <w:lvlText w:val="%1."/>
      <w:numFmt w:val="decimal"/>
      <w:start w:val="75"/>
    </w:lvl>
    <w:lvl w:ilvl="1">
      <w:lvlJc w:val="left"/>
      <w:lvlText w:val="(%2)"/>
      <w:numFmt w:val="lowerLetter"/>
      <w:start w:val="1"/>
    </w:lvl>
  </w:abstractNum>
  <w:abstractNum w:abstractNumId="38">
    <w:nsid w:val="73CFE165"/>
    <w:multiLevelType w:val="hybridMultilevel"/>
    <w:lvl w:ilvl="0">
      <w:lvlJc w:val="left"/>
      <w:lvlText w:val="(%1)"/>
      <w:numFmt w:val="lowerLetter"/>
      <w:start w:val="1"/>
    </w:lvl>
  </w:abstractNum>
  <w:abstractNum w:abstractNumId="39">
    <w:nsid w:val="20F88EA6"/>
    <w:multiLevelType w:val="hybridMultilevel"/>
    <w:lvl w:ilvl="0">
      <w:lvlJc w:val="left"/>
      <w:lvlText w:val="%1."/>
      <w:numFmt w:val="decimal"/>
      <w:start w:val="76"/>
    </w:lvl>
  </w:abstractNum>
  <w:abstractNum w:abstractNumId="40">
    <w:nsid w:val="617C843E"/>
    <w:multiLevelType w:val="hybridMultilevel"/>
    <w:lvl w:ilvl="0">
      <w:lvlJc w:val="left"/>
      <w:lvlText w:val="%1."/>
      <w:numFmt w:val="decimal"/>
      <w:start w:val="77"/>
    </w:lvl>
  </w:abstractNum>
  <w:abstractNum w:abstractNumId="41">
    <w:nsid w:val="7B541FAB"/>
    <w:multiLevelType w:val="hybridMultilevel"/>
    <w:lvl w:ilvl="0">
      <w:lvlJc w:val="left"/>
      <w:lvlText w:val="%1."/>
      <w:numFmt w:val="decimal"/>
      <w:start w:val="78"/>
    </w:lvl>
  </w:abstractNum>
  <w:abstractNum w:abstractNumId="42">
    <w:nsid w:val="2A79EC49"/>
    <w:multiLevelType w:val="hybridMultilevel"/>
    <w:lvl w:ilvl="0">
      <w:lvlJc w:val="left"/>
      <w:lvlText w:val="%1"/>
      <w:numFmt w:val="upperLetter"/>
      <w:start w:val="61"/>
    </w:lvl>
  </w:abstractNum>
  <w:abstractNum w:abstractNumId="43">
    <w:nsid w:val="338125CF"/>
    <w:multiLevelType w:val="hybridMultilevel"/>
    <w:lvl w:ilvl="0">
      <w:lvlJc w:val="left"/>
      <w:lvlText w:val="(%1)"/>
      <w:numFmt w:val="decimal"/>
      <w:start w:val="1"/>
    </w:lvl>
  </w:abstractNum>
  <w:abstractNum w:abstractNumId="44">
    <w:nsid w:val="47C7C971"/>
    <w:multiLevelType w:val="hybridMultilevel"/>
    <w:lvl w:ilvl="0">
      <w:lvlJc w:val="left"/>
      <w:lvlText w:val="(%1)"/>
      <w:numFmt w:val="lowerLetter"/>
      <w:start w:val="3"/>
    </w:lvl>
  </w:abstractNum>
  <w:abstractNum w:abstractNumId="45">
    <w:nsid w:val="46F8284B"/>
    <w:multiLevelType w:val="hybridMultilevel"/>
    <w:lvl w:ilvl="0">
      <w:lvlJc w:val="left"/>
      <w:lvlText w:val="(%1)"/>
      <w:numFmt w:val="decimal"/>
      <w:start w:val="1"/>
    </w:lvl>
  </w:abstractNum>
  <w:abstractNum w:abstractNumId="46">
    <w:nsid w:val="4FA327CE"/>
    <w:multiLevelType w:val="hybridMultilevel"/>
    <w:lvl w:ilvl="0">
      <w:lvlJc w:val="left"/>
      <w:lvlText w:val="(%1)"/>
      <w:numFmt w:val="decimal"/>
      <w:start w:val="1"/>
    </w:lvl>
  </w:abstractNum>
  <w:abstractNum w:abstractNumId="47">
    <w:nsid w:val="1873983A"/>
    <w:multiLevelType w:val="hybridMultilevel"/>
    <w:lvl w:ilvl="0">
      <w:lvlJc w:val="left"/>
      <w:lvlText w:val="(%1)"/>
      <w:numFmt w:val="lowerLetter"/>
      <w:start w:val="1"/>
    </w:lvl>
  </w:abstractNum>
  <w:abstractNum w:abstractNumId="48">
    <w:nsid w:val="3D2DD275"/>
    <w:multiLevelType w:val="hybridMultilevel"/>
    <w:lvl w:ilvl="0">
      <w:lvlJc w:val="left"/>
      <w:lvlText w:val="(%1)"/>
      <w:numFmt w:val="lowerLetter"/>
      <w:start w:val="11"/>
    </w:lvl>
  </w:abstractNum>
  <w:abstractNum w:abstractNumId="49">
    <w:nsid w:val="2E17ECA7"/>
    <w:multiLevelType w:val="hybridMultilevel"/>
    <w:lvl w:ilvl="0">
      <w:lvlJc w:val="left"/>
      <w:lvlText w:val="(%1)"/>
      <w:numFmt w:val="decimal"/>
      <w:start w:val="1"/>
    </w:lvl>
  </w:abstractNum>
  <w:abstractNum w:abstractNumId="50">
    <w:nsid w:val="53B2564F"/>
    <w:multiLevelType w:val="hybridMultilevel"/>
    <w:lvl w:ilvl="0">
      <w:lvlJc w:val="left"/>
      <w:lvlText w:val="(%1)"/>
      <w:numFmt w:val="decimal"/>
      <w:start w:val="1"/>
    </w:lvl>
    <w:lvl w:ilvl="1">
      <w:lvlJc w:val="left"/>
      <w:lvlText w:val="(%2)"/>
      <w:numFmt w:val="lowerLetter"/>
      <w:start w:val="2"/>
    </w:lvl>
  </w:abstractNum>
  <w:abstractNum w:abstractNumId="51">
    <w:nsid w:val="75509D76"/>
    <w:multiLevelType w:val="hybridMultilevel"/>
    <w:lvl w:ilvl="0">
      <w:lvlJc w:val="left"/>
      <w:lvlText w:val="(%1)"/>
      <w:numFmt w:val="decimal"/>
      <w:start w:val="2"/>
    </w:lvl>
  </w:abstractNum>
  <w:abstractNum w:abstractNumId="52">
    <w:nsid w:val="1AF7F0EA"/>
    <w:multiLevelType w:val="hybridMultilevel"/>
    <w:lvl w:ilvl="0">
      <w:lvlJc w:val="left"/>
      <w:lvlText w:val="%1"/>
      <w:numFmt w:val="decimal"/>
      <w:start w:val="1"/>
    </w:lvl>
    <w:lvl w:ilvl="1">
      <w:lvlJc w:val="left"/>
      <w:lvlText w:val="(%2)"/>
      <w:numFmt w:val="decimal"/>
      <w:start w:val="1"/>
    </w:lvl>
  </w:abstractNum>
  <w:abstractNum w:abstractNumId="53">
    <w:nsid w:val="4DA32C7E"/>
    <w:multiLevelType w:val="hybridMultilevel"/>
    <w:lvl w:ilvl="0">
      <w:lvlJc w:val="left"/>
      <w:lvlText w:val="(%1)"/>
      <w:numFmt w:val="decimal"/>
      <w:start w:val="1"/>
    </w:lvl>
    <w:lvl w:ilvl="1">
      <w:lvlJc w:val="left"/>
      <w:lvlText w:val="%2"/>
      <w:numFmt w:val="decimal"/>
      <w:start w:val="1"/>
    </w:lvl>
  </w:abstractNum>
  <w:abstractNum w:abstractNumId="54">
    <w:nsid w:val="6EC68664"/>
    <w:multiLevelType w:val="hybridMultilevel"/>
    <w:lvl w:ilvl="0">
      <w:lvlJc w:val="left"/>
      <w:lvlText w:val="(%1)"/>
      <w:numFmt w:val="decimal"/>
      <w:start w:val="1"/>
    </w:lvl>
  </w:abstractNum>
  <w:abstractNum w:abstractNumId="55">
    <w:nsid w:val="E0D31FF"/>
    <w:multiLevelType w:val="hybridMultilevel"/>
    <w:lvl w:ilvl="0">
      <w:lvlJc w:val="left"/>
      <w:lvlText w:val="(%1)"/>
      <w:numFmt w:val="decimal"/>
      <w:start w:val="1"/>
    </w:lvl>
  </w:abstractNum>
  <w:abstractNum w:abstractNumId="56">
    <w:nsid w:val="2FD0AD81"/>
    <w:multiLevelType w:val="hybridMultilevel"/>
    <w:lvl w:ilvl="0">
      <w:lvlJc w:val="left"/>
      <w:lvlText w:val="(%1)"/>
      <w:numFmt w:val="decimal"/>
      <w:start w:val="2"/>
    </w:lvl>
  </w:abstractNum>
  <w:abstractNum w:abstractNumId="57">
    <w:nsid w:val="1978EBEB"/>
    <w:multiLevelType w:val="hybridMultilevel"/>
    <w:lvl w:ilvl="0">
      <w:lvlJc w:val="left"/>
      <w:lvlText w:val="(%1)"/>
      <w:numFmt w:val="decimal"/>
      <w:start w:val="10"/>
    </w:lvl>
    <w:lvl w:ilvl="1">
      <w:lvlJc w:val="left"/>
      <w:lvlText w:val="(%2)"/>
      <w:numFmt w:val="lowerLetter"/>
      <w:start w:val="1"/>
    </w:lvl>
  </w:abstractNum>
  <w:abstractNum w:abstractNumId="58">
    <w:nsid w:val="52C12C61"/>
    <w:multiLevelType w:val="hybridMultilevel"/>
    <w:lvl w:ilvl="0">
      <w:lvlJc w:val="left"/>
      <w:lvlText w:val="(%1)"/>
      <w:numFmt w:val="decimal"/>
      <w:start w:val="1"/>
    </w:lvl>
    <w:lvl w:ilvl="1">
      <w:lvlJc w:val="left"/>
      <w:lvlText w:val="(%2)"/>
      <w:numFmt w:val="lowerLetter"/>
      <w:start w:val="1"/>
    </w:lvl>
  </w:abstractNum>
  <w:abstractNum w:abstractNumId="59">
    <w:nsid w:val="4BDD53FD"/>
    <w:multiLevelType w:val="hybridMultilevel"/>
    <w:lvl w:ilvl="0">
      <w:lvlJc w:val="left"/>
      <w:lvlText w:val="(%1)"/>
      <w:numFmt w:val="decimal"/>
      <w:start w:val="1"/>
    </w:lvl>
    <w:lvl w:ilvl="1">
      <w:lvlJc w:val="left"/>
      <w:lvlText w:val="(%2)"/>
      <w:numFmt w:val="lowerLetter"/>
      <w:start w:val="1"/>
    </w:lvl>
  </w:abstractNum>
  <w:abstractNum w:abstractNumId="60">
    <w:nsid w:val="569951FE"/>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61">
    <w:nsid w:val="4C54E2C3"/>
    <w:multiLevelType w:val="hybridMultilevel"/>
    <w:lvl w:ilvl="0">
      <w:lvlJc w:val="left"/>
      <w:lvlText w:val="%1"/>
      <w:numFmt w:val="decimal"/>
      <w:start w:val="1"/>
    </w:lvl>
    <w:lvl w:ilvl="1">
      <w:lvlJc w:val="left"/>
      <w:lvlText w:val="(%2)"/>
      <w:numFmt w:val="decimal"/>
      <w:start w:val="3"/>
    </w:lvl>
    <w:lvl w:ilvl="2">
      <w:lvlJc w:val="left"/>
      <w:lvlText w:val="(%3)"/>
      <w:numFmt w:val="lowerLetter"/>
      <w:start w:val="12"/>
    </w:lvl>
  </w:abstractNum>
  <w:abstractNum w:abstractNumId="62">
    <w:nsid w:val="788BD9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3">
    <w:nsid w:val="47CAA567"/>
    <w:multiLevelType w:val="hybridMultilevel"/>
    <w:lvl w:ilvl="0">
      <w:lvlJc w:val="left"/>
      <w:lvlText w:val="%1"/>
      <w:numFmt w:val="decimal"/>
      <w:start w:val="1"/>
    </w:lvl>
    <w:lvl w:ilvl="1">
      <w:lvlJc w:val="left"/>
      <w:lvlText w:val="(%2)"/>
      <w:numFmt w:val="lowerLetter"/>
      <w:start w:val="1"/>
    </w:lvl>
  </w:abstractNum>
  <w:abstractNum w:abstractNumId="64">
    <w:nsid w:val="48249DBF"/>
    <w:multiLevelType w:val="hybridMultilevel"/>
    <w:lvl w:ilvl="0">
      <w:lvlJc w:val="left"/>
      <w:lvlText w:val="(%1)"/>
      <w:numFmt w:val="decimal"/>
      <w:start w:val="3"/>
    </w:lvl>
    <w:lvl w:ilvl="1">
      <w:lvlJc w:val="left"/>
      <w:lvlText w:val="%2"/>
      <w:numFmt w:val="lowerLetter"/>
      <w:start w:val="1"/>
    </w:lvl>
  </w:abstractNum>
  <w:abstractNum w:abstractNumId="65">
    <w:nsid w:val="1F0E5D0D"/>
    <w:multiLevelType w:val="hybridMultilevel"/>
    <w:lvl w:ilvl="0">
      <w:lvlJc w:val="left"/>
      <w:lvlText w:val="(%1)"/>
      <w:numFmt w:val="decimal"/>
      <w:start w:val="1"/>
    </w:lvl>
  </w:abstractNum>
  <w:abstractNum w:abstractNumId="66">
    <w:nsid w:val="26BAAE9"/>
    <w:multiLevelType w:val="hybridMultilevel"/>
    <w:lvl w:ilvl="0">
      <w:lvlJc w:val="left"/>
      <w:lvlText w:val="(%1)"/>
      <w:numFmt w:val="decimal"/>
      <w:start w:val="2"/>
    </w:lvl>
  </w:abstractNum>
  <w:abstractNum w:abstractNumId="67">
    <w:nsid w:val="2C02FE8C"/>
    <w:multiLevelType w:val="hybridMultilevel"/>
    <w:lvl w:ilvl="0">
      <w:lvlJc w:val="left"/>
      <w:lvlText w:val="(%1)"/>
      <w:numFmt w:val="lowerLetter"/>
      <w:start w:val="2"/>
    </w:lvl>
  </w:abstractNum>
  <w:abstractNum w:abstractNumId="68">
    <w:nsid w:val="129517E"/>
    <w:multiLevelType w:val="hybridMultilevel"/>
    <w:lvl w:ilvl="0">
      <w:lvlJc w:val="left"/>
      <w:lvlText w:val="(%1)"/>
      <w:numFmt w:val="decimal"/>
      <w:start w:val="1"/>
    </w:lvl>
  </w:abstractNum>
  <w:abstractNum w:abstractNumId="69">
    <w:nsid w:val="763B8C4E"/>
    <w:multiLevelType w:val="hybridMultilevel"/>
    <w:lvl w:ilvl="0">
      <w:lvlJc w:val="left"/>
      <w:lvlText w:val="(%1)"/>
      <w:numFmt w:val="lowerLetter"/>
      <w:start w:val="2"/>
    </w:lvl>
  </w:abstractNum>
  <w:abstractNum w:abstractNumId="70">
    <w:nsid w:val="4CFB8D32"/>
    <w:multiLevelType w:val="hybridMultilevel"/>
    <w:lvl w:ilvl="0">
      <w:lvlJc w:val="left"/>
      <w:lvlText w:val="(%1)"/>
      <w:numFmt w:val="decimal"/>
      <w:start w:val="1"/>
    </w:lvl>
  </w:abstractNum>
  <w:abstractNum w:abstractNumId="71">
    <w:nsid w:val="62A5D5BD"/>
    <w:multiLevelType w:val="hybridMultilevel"/>
    <w:lvl w:ilvl="0">
      <w:lvlJc w:val="left"/>
      <w:lvlText w:val="(%1)"/>
      <w:numFmt w:val="decimal"/>
      <w:start w:val="1"/>
    </w:lvl>
    <w:lvl w:ilvl="1">
      <w:lvlJc w:val="left"/>
      <w:lvlText w:val="(%2)"/>
      <w:numFmt w:val="lowerLetter"/>
      <w:start w:val="1"/>
    </w:lvl>
  </w:abstractNum>
  <w:abstractNum w:abstractNumId="72">
    <w:nsid w:val="718FABF9"/>
    <w:multiLevelType w:val="hybridMultilevel"/>
    <w:lvl w:ilvl="0">
      <w:lvlJc w:val="left"/>
      <w:lvlText w:val="(%1)"/>
      <w:numFmt w:val="decimal"/>
      <w:start w:val="2"/>
    </w:lvl>
  </w:abstractNum>
  <w:abstractNum w:abstractNumId="73">
    <w:nsid w:val="7775797C"/>
    <w:multiLevelType w:val="hybridMultilevel"/>
    <w:lvl w:ilvl="0">
      <w:lvlJc w:val="left"/>
      <w:lvlText w:val="(%1)"/>
      <w:numFmt w:val="decimal"/>
      <w:start w:val="1"/>
    </w:lvl>
  </w:abstractNum>
  <w:abstractNum w:abstractNumId="74">
    <w:nsid w:val="1626FB8C"/>
    <w:multiLevelType w:val="hybridMultilevel"/>
    <w:lvl w:ilvl="0">
      <w:lvlJc w:val="left"/>
      <w:lvlText w:val="(%1)"/>
      <w:numFmt w:val="decimal"/>
      <w:start w:val="1"/>
    </w:lvl>
    <w:lvl w:ilvl="1">
      <w:lvlJc w:val="left"/>
      <w:lvlText w:val="(%2)"/>
      <w:numFmt w:val="lowerLetter"/>
      <w:start w:val="1"/>
    </w:lvl>
  </w:abstractNum>
  <w:abstractNum w:abstractNumId="75">
    <w:nsid w:val="3957756A"/>
    <w:multiLevelType w:val="hybridMultilevel"/>
    <w:lvl w:ilvl="0">
      <w:lvlJc w:val="left"/>
      <w:lvlText w:val="(%1)"/>
      <w:numFmt w:val="lowerLetter"/>
      <w:start w:val="1"/>
    </w:lvl>
  </w:abstractNum>
  <w:abstractNum w:abstractNumId="76">
    <w:nsid w:val="3E6DA1C7"/>
    <w:multiLevelType w:val="hybridMultilevel"/>
    <w:lvl w:ilvl="0">
      <w:lvlJc w:val="left"/>
      <w:lvlText w:val="(%1)"/>
      <w:numFmt w:val="decimal"/>
      <w:start w:val="1"/>
    </w:lvl>
    <w:lvl w:ilvl="1">
      <w:lvlJc w:val="left"/>
      <w:lvlText w:val="(%2)"/>
      <w:numFmt w:val="lowerLetter"/>
      <w:start w:val="1"/>
    </w:lvl>
  </w:abstractNum>
  <w:abstractNum w:abstractNumId="77">
    <w:nsid w:val="65CA235B"/>
    <w:multiLevelType w:val="hybridMultilevel"/>
    <w:lvl w:ilvl="0">
      <w:lvlJc w:val="left"/>
      <w:lvlText w:val="(%1)"/>
      <w:numFmt w:val="decimal"/>
      <w:start w:val="4"/>
    </w:lvl>
    <w:lvl w:ilvl="1">
      <w:lvlJc w:val="left"/>
      <w:lvlText w:val="(%2)"/>
      <w:numFmt w:val="lowerLetter"/>
      <w:start w:val="1"/>
    </w:lvl>
  </w:abstractNum>
  <w:abstractNum w:abstractNumId="78">
    <w:nsid w:val="51CB0DA4"/>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79">
    <w:nsid w:val="7B9B743C"/>
    <w:multiLevelType w:val="hybridMultilevel"/>
    <w:lvl w:ilvl="0">
      <w:lvlJc w:val="left"/>
      <w:lvlText w:val="(%1)"/>
      <w:numFmt w:val="decimal"/>
      <w:start w:val="13"/>
    </w:lvl>
    <w:lvl w:ilvl="1">
      <w:lvlJc w:val="left"/>
      <w:lvlText w:val="(%2)"/>
      <w:numFmt w:val="decimal"/>
      <w:start w:val="14"/>
    </w:lvl>
    <w:lvl w:ilvl="2">
      <w:lvlJc w:val="left"/>
      <w:lvlText w:val="(%3)"/>
      <w:numFmt w:val="lowerLetter"/>
      <w:start w:val="1"/>
    </w:lvl>
  </w:abstractNum>
  <w:abstractNum w:abstractNumId="80">
    <w:nsid w:val="13E21002"/>
    <w:multiLevelType w:val="hybridMultilevel"/>
    <w:lvl w:ilvl="0">
      <w:lvlJc w:val="left"/>
      <w:lvlText w:val="(%1)"/>
      <w:numFmt w:val="lowerLetter"/>
      <w:start w:val="3"/>
    </w:lvl>
  </w:abstractNum>
  <w:abstractNum w:abstractNumId="81">
    <w:nsid w:val="257D63F4"/>
    <w:multiLevelType w:val="hybridMultilevel"/>
    <w:lvl w:ilvl="0">
      <w:lvlJc w:val="left"/>
      <w:lvlText w:val="(%1)"/>
      <w:numFmt w:val="decimal"/>
      <w:start w:val="1"/>
    </w:lvl>
  </w:abstractNum>
  <w:abstractNum w:abstractNumId="82">
    <w:nsid w:val="70EC11B2"/>
    <w:multiLevelType w:val="hybridMultilevel"/>
    <w:lvl w:ilvl="0">
      <w:lvlJc w:val="left"/>
      <w:lvlText w:val="(%1)"/>
      <w:numFmt w:val="decimal"/>
      <w:start w:val="9"/>
    </w:lvl>
  </w:abstractNum>
  <w:abstractNum w:abstractNumId="83">
    <w:nsid w:val="2EDA00ED"/>
    <w:multiLevelType w:val="hybridMultilevel"/>
    <w:lvl w:ilvl="0">
      <w:lvlJc w:val="left"/>
      <w:lvlText w:val="%1"/>
      <w:numFmt w:val="lowerLetter"/>
      <w:start w:val="1"/>
    </w:lvl>
    <w:lvl w:ilvl="1">
      <w:lvlJc w:val="left"/>
      <w:lvlText w:val="(%2)"/>
      <w:numFmt w:val="decimal"/>
      <w:start w:val="22"/>
    </w:lvl>
  </w:abstractNum>
  <w:abstractNum w:abstractNumId="84">
    <w:nsid w:val="73209072"/>
    <w:multiLevelType w:val="hybridMultilevel"/>
    <w:lvl w:ilvl="0">
      <w:lvlJc w:val="left"/>
      <w:lvlText w:val="(%1)"/>
      <w:numFmt w:val="lowerLetter"/>
      <w:start w:val="2"/>
    </w:lvl>
    <w:lvl w:ilvl="1">
      <w:lvlJc w:val="left"/>
      <w:lvlText w:val="(%2)"/>
      <w:numFmt w:val="decimal"/>
      <w:start w:val="23"/>
    </w:lvl>
  </w:abstractNum>
  <w:abstractNum w:abstractNumId="85">
    <w:nsid w:val="5FB29816"/>
    <w:multiLevelType w:val="hybridMultilevel"/>
    <w:lvl w:ilvl="0">
      <w:lvlJc w:val="left"/>
      <w:lvlText w:val="(%1)"/>
      <w:numFmt w:val="lowerRoman"/>
      <w:start w:val="2"/>
    </w:lvl>
    <w:lvl w:ilvl="1">
      <w:lvlJc w:val="left"/>
      <w:lvlText w:val="(%2)"/>
      <w:numFmt w:val="decimal"/>
      <w:start w:val="28"/>
    </w:lvl>
  </w:abstractNum>
  <w:abstractNum w:abstractNumId="86">
    <w:nsid w:val="3CE732EC"/>
    <w:multiLevelType w:val="hybridMultilevel"/>
    <w:lvl w:ilvl="0">
      <w:lvlJc w:val="left"/>
      <w:lvlText w:val="(%1)"/>
      <w:numFmt w:val="decimal"/>
      <w:start w:val="31"/>
    </w:lvl>
  </w:abstractNum>
  <w:abstractNum w:abstractNumId="87">
    <w:nsid w:val="22F13DF3"/>
    <w:multiLevelType w:val="hybridMultilevel"/>
    <w:lvl w:ilvl="0">
      <w:lvlJc w:val="left"/>
      <w:lvlText w:val="(%1)"/>
      <w:numFmt w:val="decimal"/>
      <w:start w:val="6"/>
    </w:lvl>
  </w:abstractNum>
  <w:abstractNum w:abstractNumId="88">
    <w:nsid w:val="792B8401"/>
    <w:multiLevelType w:val="hybridMultilevel"/>
    <w:lvl w:ilvl="0">
      <w:lvlJc w:val="left"/>
      <w:lvlText w:val="(%1)"/>
      <w:numFmt w:val="decimal"/>
      <w:start w:val="1"/>
    </w:lvl>
  </w:abstractNum>
  <w:abstractNum w:abstractNumId="89">
    <w:nsid w:val="FA85F4D"/>
    <w:multiLevelType w:val="hybridMultilevel"/>
    <w:lvl w:ilvl="0">
      <w:lvlJc w:val="left"/>
      <w:lvlText w:val="(%1)"/>
      <w:numFmt w:val="lowerLetter"/>
      <w:start w:val="1"/>
    </w:lvl>
  </w:abstractNum>
  <w:abstractNum w:abstractNumId="90">
    <w:nsid w:val="6ECE91F0"/>
    <w:multiLevelType w:val="hybridMultilevel"/>
    <w:lvl w:ilvl="0">
      <w:lvlJc w:val="left"/>
      <w:lvlText w:val="(%1)"/>
      <w:numFmt w:val="decimal"/>
      <w:start w:val="1"/>
    </w:lvl>
  </w:abstractNum>
  <w:abstractNum w:abstractNumId="91">
    <w:nsid w:val="4FC4D600"/>
    <w:multiLevelType w:val="hybridMultilevel"/>
    <w:lvl w:ilvl="0">
      <w:lvlJc w:val="left"/>
      <w:lvlText w:val="(%1)"/>
      <w:numFmt w:val="decimal"/>
      <w:start w:val="1"/>
    </w:lvl>
    <w:lvl w:ilvl="1">
      <w:lvlJc w:val="left"/>
      <w:lvlText w:val="(%2)"/>
      <w:numFmt w:val="lowerLetter"/>
      <w:start w:val="24"/>
    </w:lvl>
  </w:abstractNum>
  <w:abstractNum w:abstractNumId="92">
    <w:nsid w:val="5BFD4210"/>
    <w:multiLevelType w:val="hybridMultilevel"/>
    <w:lvl w:ilvl="0">
      <w:lvlJc w:val="left"/>
      <w:lvlText w:val="(%1)"/>
      <w:numFmt w:val="decimal"/>
      <w:start w:val="1"/>
    </w:lvl>
  </w:abstractNum>
  <w:abstractNum w:abstractNumId="93">
    <w:nsid w:val="76574F8B"/>
    <w:multiLevelType w:val="hybridMultilevel"/>
    <w:lvl w:ilvl="0">
      <w:lvlJc w:val="left"/>
      <w:lvlText w:val="(%1)"/>
      <w:numFmt w:val="decimal"/>
      <w:start w:val="1"/>
    </w:lvl>
    <w:lvl w:ilvl="1">
      <w:lvlJc w:val="left"/>
      <w:lvlText w:val="(%2)"/>
      <w:numFmt w:val="lowerLetter"/>
      <w:start w:val="1"/>
    </w:lvl>
  </w:abstractNum>
  <w:abstractNum w:abstractNumId="94">
    <w:nsid w:val="178F7B67"/>
    <w:multiLevelType w:val="hybridMultilevel"/>
    <w:lvl w:ilvl="0">
      <w:lvlJc w:val="left"/>
      <w:lvlText w:val="(%1)"/>
      <w:numFmt w:val="decimal"/>
      <w:start w:val="1"/>
    </w:lvl>
  </w:abstractNum>
  <w:abstractNum w:abstractNumId="95">
    <w:nsid w:val="2421DFCF"/>
    <w:multiLevelType w:val="hybridMultilevel"/>
    <w:lvl w:ilvl="0">
      <w:lvlJc w:val="left"/>
      <w:lvlText w:val="%1"/>
      <w:numFmt w:val="decimal"/>
      <w:start w:val="1"/>
    </w:lvl>
    <w:lvl w:ilvl="1">
      <w:lvlJc w:val="left"/>
      <w:lvlText w:val="(%2)"/>
      <w:numFmt w:val="decimal"/>
      <w:start w:val="1"/>
    </w:lvl>
  </w:abstractNum>
  <w:abstractNum w:abstractNumId="96">
    <w:nsid w:val="1565AC99"/>
    <w:multiLevelType w:val="hybridMultilevel"/>
    <w:lvl w:ilvl="0">
      <w:lvlJc w:val="left"/>
      <w:lvlText w:val="(%1)"/>
      <w:numFmt w:val="decimal"/>
      <w:start w:val="2"/>
    </w:lvl>
    <w:lvl w:ilvl="1">
      <w:lvlJc w:val="left"/>
      <w:lvlText w:val="%2"/>
      <w:numFmt w:val="decimal"/>
      <w:start w:val="1"/>
    </w:lvl>
  </w:abstractNum>
  <w:abstractNum w:abstractNumId="97">
    <w:nsid w:val="19FB2650"/>
    <w:multiLevelType w:val="hybridMultilevel"/>
    <w:lvl w:ilvl="0">
      <w:lvlJc w:val="left"/>
      <w:lvlText w:val="(%1)"/>
      <w:numFmt w:val="lowerLetter"/>
      <w:start w:val="1"/>
    </w:lvl>
  </w:abstractNum>
  <w:abstractNum w:abstractNumId="98">
    <w:nsid w:val="5024DE5B"/>
    <w:multiLevelType w:val="hybridMultilevel"/>
    <w:lvl w:ilvl="0">
      <w:lvlJc w:val="left"/>
      <w:lvlText w:val="(%1)"/>
      <w:numFmt w:val="lowerLetter"/>
      <w:start w:val="1"/>
    </w:lvl>
  </w:abstractNum>
  <w:abstractNum w:abstractNumId="99">
    <w:nsid w:val="168EFE17"/>
    <w:multiLevelType w:val="hybridMultilevel"/>
    <w:lvl w:ilvl="0">
      <w:lvlJc w:val="left"/>
      <w:lvlText w:val="%1"/>
      <w:numFmt w:val="lowerRoman"/>
      <w:start w:val="1"/>
    </w:lvl>
    <w:lvl w:ilvl="1">
      <w:lvlJc w:val="left"/>
      <w:lvlText w:val="(%2)"/>
      <w:numFmt w:val="lowerLetter"/>
      <w:start w:val="1"/>
    </w:lvl>
  </w:abstractNum>
  <w:abstractNum w:abstractNumId="100">
    <w:nsid w:val="1036B29F"/>
    <w:multiLevelType w:val="hybridMultilevel"/>
    <w:lvl w:ilvl="0">
      <w:lvlJc w:val="left"/>
      <w:lvlText w:val="(%1)"/>
      <w:numFmt w:val="lowerRoman"/>
      <w:start w:val="1"/>
    </w:lvl>
    <w:lvl w:ilvl="1">
      <w:lvlJc w:val="left"/>
      <w:lvlText w:val="%2"/>
      <w:numFmt w:val="lowerLetter"/>
      <w:start w:val="1"/>
    </w:lvl>
  </w:abstractNum>
  <w:abstractNum w:abstractNumId="101">
    <w:nsid w:val="1D206B8E"/>
    <w:multiLevelType w:val="hybridMultilevel"/>
    <w:lvl w:ilvl="0">
      <w:lvlJc w:val="left"/>
      <w:lvlText w:val="(%1)"/>
      <w:numFmt w:val="lowerLetter"/>
      <w:start w:val="2"/>
    </w:lvl>
  </w:abstractNum>
  <w:abstractNum w:abstractNumId="102">
    <w:nsid w:val="7934D3D4"/>
    <w:multiLevelType w:val="hybridMultilevel"/>
    <w:lvl w:ilvl="0">
      <w:lvlJc w:val="left"/>
      <w:lvlText w:val="(%1)"/>
      <w:numFmt w:val="lowerLetter"/>
      <w:start w:val="1"/>
    </w:lvl>
  </w:abstractNum>
  <w:abstractNum w:abstractNumId="103">
    <w:nsid w:val="1C65E98"/>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lvl w:ilvl="3">
      <w:lvlJc w:val="left"/>
      <w:lvlText w:val="%4"/>
      <w:numFmt w:val="upperLetter"/>
      <w:start w:val="1"/>
    </w:lvl>
  </w:abstractNum>
  <w:abstractNum w:abstractNumId="104">
    <w:nsid w:val="1495E50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105">
    <w:nsid w:val="F5BCF61"/>
    <w:multiLevelType w:val="hybridMultilevel"/>
    <w:lvl w:ilvl="0">
      <w:lvlJc w:val="left"/>
      <w:lvlText w:val="(%1)"/>
      <w:numFmt w:val="upperLetter"/>
      <w:start w:val="2"/>
    </w:lvl>
    <w:lvl w:ilvl="1">
      <w:lvlJc w:val="left"/>
      <w:lvlText w:val="(%2)"/>
      <w:numFmt w:val="lowerRoman"/>
      <w:start w:val="3"/>
    </w:lvl>
    <w:lvl w:ilvl="2">
      <w:lvlJc w:val="left"/>
      <w:lvlText w:val="%3"/>
      <w:numFmt w:val="lowerLetter"/>
      <w:start w:val="1"/>
    </w:lvl>
    <w:lvl w:ilvl="3">
      <w:lvlJc w:val="left"/>
      <w:lvlText w:val="(%4)"/>
      <w:numFmt w:val="upperLetter"/>
      <w:start w:val="1"/>
    </w:lvl>
  </w:abstractNum>
  <w:abstractNum w:abstractNumId="106">
    <w:nsid w:val="3B1DD403"/>
    <w:multiLevelType w:val="hybridMultilevel"/>
    <w:lvl w:ilvl="0">
      <w:lvlJc w:val="left"/>
      <w:lvlText w:val="%1"/>
      <w:numFmt w:val="lowerRoman"/>
      <w:start w:val="1"/>
    </w:lvl>
    <w:lvl w:ilvl="1">
      <w:lvlJc w:val="left"/>
      <w:lvlText w:val="(%2)"/>
      <w:numFmt w:val="upperLetter"/>
      <w:start w:val="2"/>
    </w:lvl>
  </w:abstractNum>
  <w:abstractNum w:abstractNumId="107">
    <w:nsid w:val="530386D1"/>
    <w:multiLevelType w:val="hybridMultilevel"/>
    <w:lvl w:ilvl="0">
      <w:lvlJc w:val="left"/>
      <w:lvlText w:val="(%1)"/>
      <w:numFmt w:val="lowerRoman"/>
      <w:start w:val="4"/>
    </w:lvl>
    <w:lvl w:ilvl="1">
      <w:lvlJc w:val="left"/>
      <w:lvlText w:val="(%2)"/>
      <w:numFmt w:val="upperLetter"/>
      <w:start w:val="1"/>
    </w:lvl>
  </w:abstractNum>
  <w:abstractNum w:abstractNumId="108">
    <w:nsid w:val="7525F2BC"/>
    <w:multiLevelType w:val="hybridMultilevel"/>
    <w:lvl w:ilvl="0">
      <w:lvlJc w:val="left"/>
      <w:lvlText w:val="(%1)"/>
      <w:numFmt w:val="lowerLetter"/>
      <w:start w:val="3"/>
    </w:lvl>
  </w:abstractNum>
  <w:abstractNum w:abstractNumId="109">
    <w:nsid w:val="CE8E1A7"/>
    <w:multiLevelType w:val="hybridMultilevel"/>
    <w:lvl w:ilvl="0">
      <w:lvlJc w:val="left"/>
      <w:lvlText w:val="(%1)"/>
      <w:numFmt w:val="lowerRoman"/>
      <w:start w:val="1"/>
    </w:lvl>
    <w:lvl w:ilvl="1">
      <w:lvlJc w:val="left"/>
      <w:lvlText w:val="(%2)"/>
      <w:numFmt w:val="upperLetter"/>
      <w:start w:val="1"/>
    </w:lvl>
  </w:abstractNum>
  <w:abstractNum w:abstractNumId="110">
    <w:nsid w:val="4E9EFB0D"/>
    <w:multiLevelType w:val="hybridMultilevel"/>
    <w:lvl w:ilvl="0">
      <w:lvlJc w:val="left"/>
      <w:lvlText w:val="(%1)"/>
      <w:numFmt w:val="upperLetter"/>
      <w:start w:val="2"/>
    </w:lvl>
  </w:abstractNum>
  <w:abstractNum w:abstractNumId="111">
    <w:nsid w:val="90802BE"/>
    <w:multiLevelType w:val="hybridMultilevel"/>
    <w:lvl w:ilvl="0">
      <w:lvlJc w:val="left"/>
      <w:lvlText w:val="(%1)"/>
      <w:numFmt w:val="lowerRoman"/>
      <w:start w:val="2"/>
    </w:lvl>
    <w:lvl w:ilvl="1">
      <w:lvlJc w:val="left"/>
      <w:lvlText w:val="(%2)"/>
      <w:numFmt w:val="upperLetter"/>
      <w:start w:val="1"/>
    </w:lvl>
  </w:abstractNum>
  <w:abstractNum w:abstractNumId="112">
    <w:nsid w:val="3266459B"/>
    <w:multiLevelType w:val="hybridMultilevel"/>
    <w:lvl w:ilvl="0">
      <w:lvlJc w:val="left"/>
      <w:lvlText w:val="(%1)"/>
      <w:numFmt w:val="upperLetter"/>
      <w:start w:val="2"/>
    </w:lvl>
  </w:abstractNum>
  <w:abstractNum w:abstractNumId="113">
    <w:nsid w:val="3F8B0CBF"/>
    <w:multiLevelType w:val="hybridMultilevel"/>
    <w:lvl w:ilvl="0">
      <w:lvlJc w:val="left"/>
      <w:lvlText w:val="(%1)"/>
      <w:numFmt w:val="lowerRoman"/>
      <w:start w:val="4"/>
    </w:lvl>
  </w:abstractNum>
  <w:abstractNum w:abstractNumId="114">
    <w:nsid w:val="37E203AB"/>
    <w:multiLevelType w:val="hybridMultilevel"/>
    <w:lvl w:ilvl="0">
      <w:lvlJc w:val="left"/>
      <w:lvlText w:val="(%1)"/>
      <w:numFmt w:val="lowerLetter"/>
      <w:start w:val="4"/>
    </w:lvl>
  </w:abstractNum>
  <w:abstractNum w:abstractNumId="115">
    <w:nsid w:val="2586D60E"/>
    <w:multiLevelType w:val="hybridMultilevel"/>
    <w:lvl w:ilvl="0">
      <w:lvlJc w:val="left"/>
      <w:lvlText w:val="(%1)"/>
      <w:numFmt w:val="lowerRoman"/>
      <w:start w:val="1"/>
    </w:lvl>
    <w:lvl w:ilvl="1">
      <w:lvlJc w:val="left"/>
      <w:lvlText w:val="(%2)"/>
      <w:numFmt w:val="upperLetter"/>
      <w:start w:val="1"/>
    </w:lvl>
  </w:abstractNum>
  <w:abstractNum w:abstractNumId="116">
    <w:nsid w:val="1F3DA4D5"/>
    <w:multiLevelType w:val="hybridMultilevel"/>
    <w:lvl w:ilvl="0">
      <w:lvlJc w:val="left"/>
      <w:lvlText w:val="(%1)"/>
      <w:numFmt w:val="upperLetter"/>
      <w:start w:val="4"/>
    </w:lvl>
  </w:abstractNum>
  <w:abstractNum w:abstractNumId="117">
    <w:nsid w:val="74C93698"/>
    <w:multiLevelType w:val="hybridMultilevel"/>
    <w:lvl w:ilvl="0">
      <w:lvlJc w:val="left"/>
      <w:lvlText w:val="(%1)"/>
      <w:numFmt w:val="lowerRoman"/>
      <w:start w:val="2"/>
    </w:lvl>
    <w:lvl w:ilvl="1">
      <w:lvlJc w:val="left"/>
      <w:lvlText w:val="(%2)"/>
      <w:numFmt w:val="upperLetter"/>
      <w:start w:val="1"/>
    </w:lvl>
  </w:abstractNum>
  <w:abstractNum w:abstractNumId="118">
    <w:nsid w:val="48781401"/>
    <w:multiLevelType w:val="hybridMultilevel"/>
    <w:lvl w:ilvl="0">
      <w:lvlJc w:val="left"/>
      <w:lvlText w:val="(%1)"/>
      <w:numFmt w:val="lowerRoman"/>
      <w:start w:val="3"/>
    </w:lvl>
  </w:abstractNum>
  <w:abstractNum w:abstractNumId="119">
    <w:nsid w:val="186928D6"/>
    <w:multiLevelType w:val="hybridMultilevel"/>
    <w:lvl w:ilvl="0">
      <w:lvlJc w:val="left"/>
      <w:lvlText w:val="%1"/>
      <w:numFmt w:val="lowerRoman"/>
      <w:start w:val="1"/>
    </w:lvl>
    <w:lvl w:ilvl="1">
      <w:lvlJc w:val="left"/>
      <w:lvlText w:val="(%2)"/>
      <w:numFmt w:val="lowerLetter"/>
      <w:start w:val="5"/>
    </w:lvl>
    <w:lvl w:ilvl="2">
      <w:lvlJc w:val="left"/>
      <w:lvlText w:val="%3"/>
      <w:numFmt w:val="upperLetter"/>
      <w:start w:val="1"/>
    </w:lvl>
  </w:abstractNum>
  <w:abstractNum w:abstractNumId="120">
    <w:nsid w:val="47195E5"/>
    <w:multiLevelType w:val="hybridMultilevel"/>
    <w:lvl w:ilvl="0">
      <w:lvlJc w:val="left"/>
      <w:lvlText w:val="(%1)"/>
      <w:numFmt w:val="lowerRoman"/>
      <w:start w:val="1"/>
    </w:lvl>
    <w:lvl w:ilvl="1">
      <w:lvlJc w:val="left"/>
      <w:lvlText w:val="(%2)"/>
      <w:numFmt w:val="lowerLetter"/>
      <w:start w:val="34"/>
    </w:lvl>
    <w:lvl w:ilvl="2">
      <w:lvlJc w:val="left"/>
      <w:lvlText w:val="(%3)"/>
      <w:numFmt w:val="upperLetter"/>
      <w:start w:val="1"/>
    </w:lvl>
  </w:abstractNum>
  <w:abstractNum w:abstractNumId="121">
    <w:nsid w:val="3746A5F2"/>
    <w:multiLevelType w:val="hybridMultilevel"/>
    <w:lvl w:ilvl="0">
      <w:lvlJc w:val="left"/>
      <w:lvlText w:val="%1"/>
      <w:numFmt w:val="lowerRoman"/>
      <w:start w:val="1"/>
    </w:lvl>
    <w:lvl w:ilvl="1">
      <w:lvlJc w:val="left"/>
      <w:lvlText w:val="(%2)"/>
      <w:numFmt w:val="upperLetter"/>
      <w:start w:val="3"/>
    </w:lvl>
  </w:abstractNum>
  <w:abstractNum w:abstractNumId="122">
    <w:nsid w:val="682DFED6"/>
    <w:multiLevelType w:val="hybridMultilevel"/>
    <w:lvl w:ilvl="0">
      <w:lvlJc w:val="left"/>
      <w:lvlText w:val="(%1)"/>
      <w:numFmt w:val="lowerRoman"/>
      <w:start w:val="3"/>
    </w:lvl>
    <w:lvl w:ilvl="1">
      <w:lvlJc w:val="left"/>
      <w:lvlText w:val="%2"/>
      <w:numFmt w:val="upperLetter"/>
      <w:start w:val="1"/>
    </w:lvl>
  </w:abstractNum>
  <w:abstractNum w:abstractNumId="123">
    <w:nsid w:val="606ED7F6"/>
    <w:multiLevelType w:val="hybridMultilevel"/>
    <w:lvl w:ilvl="0">
      <w:lvlJc w:val="left"/>
      <w:lvlText w:val="(%1)"/>
      <w:numFmt w:val="lowerLetter"/>
      <w:start w:val="6"/>
    </w:lvl>
  </w:abstractNum>
  <w:abstractNum w:abstractNumId="124">
    <w:nsid w:val="2D9DF57D"/>
    <w:multiLevelType w:val="hybridMultilevel"/>
    <w:lvl w:ilvl="0">
      <w:lvlJc w:val="left"/>
      <w:lvlText w:val="(%1)"/>
      <w:numFmt w:val="lowerRoman"/>
      <w:start w:val="1"/>
    </w:lvl>
    <w:lvl w:ilvl="1">
      <w:lvlJc w:val="left"/>
      <w:lvlText w:val="(%2)"/>
      <w:numFmt w:val="upperLetter"/>
      <w:start w:val="1"/>
    </w:lvl>
  </w:abstractNum>
  <w:abstractNum w:abstractNumId="125">
    <w:nsid w:val="7FBD7A3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126">
    <w:nsid w:val="490B7C5"/>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127">
    <w:nsid w:val="4303A216"/>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28">
    <w:nsid w:val="19B8A08E"/>
    <w:multiLevelType w:val="hybridMultilevel"/>
    <w:lvl w:ilvl="0">
      <w:lvlJc w:val="left"/>
      <w:lvlText w:val="%1"/>
      <w:numFmt w:val="lowerRoman"/>
      <w:start w:val="1"/>
    </w:lvl>
    <w:lvl w:ilvl="1">
      <w:lvlJc w:val="left"/>
      <w:lvlText w:val="(%2)"/>
      <w:numFmt w:val="lowerLetter"/>
      <w:start w:val="7"/>
    </w:lvl>
  </w:abstractNum>
  <w:abstractNum w:abstractNumId="129">
    <w:nsid w:val="54B59621"/>
    <w:multiLevelType w:val="hybridMultilevel"/>
    <w:lvl w:ilvl="0">
      <w:lvlJc w:val="left"/>
      <w:lvlText w:val="(%1)"/>
      <w:numFmt w:val="lowerRoman"/>
      <w:start w:val="1"/>
    </w:lvl>
    <w:lvl w:ilvl="1">
      <w:lvlJc w:val="left"/>
      <w:lvlText w:val="%2"/>
      <w:numFmt w:val="lowerLetter"/>
      <w:start w:val="1"/>
    </w:lvl>
  </w:abstractNum>
  <w:abstractNum w:abstractNumId="130">
    <w:nsid w:val="5992A02E"/>
    <w:multiLevelType w:val="hybridMultilevel"/>
    <w:lvl w:ilvl="0">
      <w:lvlJc w:val="left"/>
      <w:lvlText w:val="(%1)"/>
      <w:numFmt w:val="lowerRoman"/>
      <w:start w:val="5"/>
    </w:lvl>
  </w:abstractNum>
  <w:abstractNum w:abstractNumId="131">
    <w:nsid w:val="29EF532D"/>
    <w:multiLevelType w:val="hybridMultilevel"/>
    <w:lvl w:ilvl="0">
      <w:lvlJc w:val="left"/>
      <w:lvlText w:val="(%1)"/>
      <w:numFmt w:val="lowerLetter"/>
      <w:start w:val="1"/>
    </w:lvl>
  </w:abstractNum>
  <w:abstractNum w:abstractNumId="132">
    <w:nsid w:val="71D601AF"/>
    <w:multiLevelType w:val="hybridMultilevel"/>
    <w:lvl w:ilvl="0">
      <w:lvlJc w:val="left"/>
      <w:lvlText w:val="(%1)"/>
      <w:numFmt w:val="lowerLetter"/>
      <w:start w:val="1"/>
    </w:lvl>
  </w:abstractNum>
  <w:abstractNum w:abstractNumId="133">
    <w:nsid w:val="52C77402"/>
    <w:multiLevelType w:val="hybridMultilevel"/>
    <w:lvl w:ilvl="0">
      <w:lvlJc w:val="left"/>
      <w:lvlText w:val="(%1)"/>
      <w:numFmt w:val="lowerLetter"/>
      <w:start w:val="1"/>
    </w:lvl>
  </w:abstractNum>
  <w:abstractNum w:abstractNumId="134">
    <w:nsid w:val="2BB5B1C6"/>
    <w:multiLevelType w:val="hybridMultilevel"/>
    <w:lvl w:ilvl="0">
      <w:lvlJc w:val="left"/>
      <w:lvlText w:val="(%1)"/>
      <w:numFmt w:val="lowerLetter"/>
      <w:start w:val="35"/>
    </w:lvl>
    <w:lvl w:ilvl="1">
      <w:lvlJc w:val="left"/>
      <w:lvlText w:val="(%2)"/>
      <w:numFmt w:val="lowerLetter"/>
      <w:start w:val="3"/>
    </w:lvl>
  </w:abstractNum>
  <w:abstractNum w:abstractNumId="135">
    <w:nsid w:val="66BE6B9"/>
    <w:multiLevelType w:val="hybridMultilevel"/>
    <w:lvl w:ilvl="0">
      <w:lvlJc w:val="left"/>
      <w:lvlText w:val="(%1)"/>
      <w:numFmt w:val="lowerLetter"/>
      <w:start w:val="1"/>
    </w:lvl>
  </w:abstractNum>
  <w:abstractNum w:abstractNumId="136">
    <w:nsid w:val="62234363"/>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5"/>
    </w:lvl>
  </w:abstractNum>
  <w:abstractNum w:abstractNumId="137">
    <w:nsid w:val="66D385C9"/>
    <w:multiLevelType w:val="hybridMultilevel"/>
    <w:lvl w:ilvl="0">
      <w:lvlJc w:val="left"/>
      <w:lvlText w:val="(%1)"/>
      <w:numFmt w:val="lowerRoman"/>
      <w:start w:val="8"/>
    </w:lvl>
    <w:lvl w:ilvl="1">
      <w:lvlJc w:val="left"/>
      <w:lvlText w:val="%2"/>
      <w:numFmt w:val="lowerRoman"/>
      <w:start w:val="1"/>
    </w:lvl>
    <w:lvl w:ilvl="2">
      <w:lvlJc w:val="left"/>
      <w:lvlText w:val="%3"/>
      <w:numFmt w:val="lowerLetter"/>
      <w:start w:val="1"/>
    </w:lvl>
  </w:abstractNum>
  <w:abstractNum w:abstractNumId="138">
    <w:nsid w:val="596F6D8A"/>
    <w:multiLevelType w:val="hybridMultilevel"/>
    <w:lvl w:ilvl="0">
      <w:lvlJc w:val="left"/>
      <w:lvlText w:val="(%1)"/>
      <w:numFmt w:val="lowerLetter"/>
      <w:start w:val="6"/>
    </w:lvl>
  </w:abstractNum>
  <w:abstractNum w:abstractNumId="139">
    <w:nsid w:val="5749361F"/>
    <w:multiLevelType w:val="hybridMultilevel"/>
    <w:lvl w:ilvl="0">
      <w:lvlJc w:val="left"/>
      <w:lvlText w:val="%1"/>
      <w:numFmt w:val="decimal"/>
      <w:start w:val="1"/>
    </w:lvl>
    <w:lvl w:ilvl="1">
      <w:lvlJc w:val="left"/>
      <w:lvlText w:val="(%2)"/>
      <w:numFmt w:val="lowerLetter"/>
      <w:start w:val="1"/>
    </w:lvl>
  </w:abstractNum>
  <w:abstractNum w:abstractNumId="140">
    <w:nsid w:val="73BC6770"/>
    <w:multiLevelType w:val="hybridMultilevel"/>
    <w:lvl w:ilvl="0">
      <w:lvlJc w:val="left"/>
      <w:lvlText w:val="(%1)"/>
      <w:numFmt w:val="decimal"/>
      <w:start w:val="1"/>
    </w:lvl>
    <w:lvl w:ilvl="1">
      <w:lvlJc w:val="left"/>
      <w:lvlText w:val="%2"/>
      <w:numFmt w:val="lowerLetter"/>
      <w:start w:val="1"/>
    </w:lvl>
  </w:abstractNum>
  <w:abstractNum w:abstractNumId="141">
    <w:nsid w:val="280E6897"/>
    <w:multiLevelType w:val="hybridMultilevel"/>
    <w:lvl w:ilvl="0">
      <w:lvlJc w:val="left"/>
      <w:lvlText w:val="(%1)"/>
      <w:numFmt w:val="lowerLetter"/>
      <w:start w:val="2"/>
    </w:lvl>
  </w:abstractNum>
  <w:abstractNum w:abstractNumId="142">
    <w:nsid w:val="605138DE"/>
    <w:multiLevelType w:val="hybridMultilevel"/>
    <w:lvl w:ilvl="0">
      <w:lvlJc w:val="left"/>
      <w:lvlText w:val="(%1)"/>
      <w:numFmt w:val="lowerLetter"/>
      <w:start w:val="1"/>
    </w:lvl>
  </w:abstractNum>
  <w:abstractNum w:abstractNumId="143">
    <w:nsid w:val="2622AD0C"/>
    <w:multiLevelType w:val="hybridMultilevel"/>
    <w:lvl w:ilvl="0">
      <w:lvlJc w:val="left"/>
      <w:lvlText w:val="(%1)"/>
      <w:numFmt w:val="lowerLetter"/>
      <w:start w:val="1"/>
    </w:lvl>
  </w:abstractNum>
  <w:abstractNum w:abstractNumId="144">
    <w:nsid w:val="67997556"/>
    <w:multiLevelType w:val="hybridMultilevel"/>
    <w:lvl w:ilvl="0">
      <w:lvlJc w:val="left"/>
      <w:lvlText w:val="(%1)"/>
      <w:numFmt w:val="decimal"/>
      <w:start w:val="1"/>
    </w:lvl>
  </w:abstractNum>
  <w:abstractNum w:abstractNumId="145">
    <w:nsid w:val="18333C89"/>
    <w:multiLevelType w:val="hybridMultilevel"/>
    <w:lvl w:ilvl="0">
      <w:lvlJc w:val="left"/>
      <w:lvlText w:val="(%1)"/>
      <w:numFmt w:val="lowerLetter"/>
      <w:start w:val="4"/>
    </w:lvl>
  </w:abstractNum>
  <w:abstractNum w:abstractNumId="146">
    <w:nsid w:val="4BA9831A"/>
    <w:multiLevelType w:val="hybridMultilevel"/>
    <w:lvl w:ilvl="0">
      <w:lvlJc w:val="left"/>
      <w:lvlText w:val="(%1)"/>
      <w:numFmt w:val="lowerLetter"/>
      <w:start w:val="6"/>
    </w:lvl>
  </w:abstractNum>
  <w:abstractNum w:abstractNumId="147">
    <w:nsid w:val="6D71A2B"/>
    <w:multiLevelType w:val="hybridMultilevel"/>
    <w:lvl w:ilvl="0">
      <w:lvlJc w:val="left"/>
      <w:lvlText w:val="(%1)"/>
      <w:numFmt w:val="lowerLetter"/>
      <w:start w:val="1"/>
    </w:lvl>
    <w:lvl w:ilvl="1">
      <w:lvlJc w:val="left"/>
      <w:lvlText w:val="(%2)"/>
      <w:numFmt w:val="upperLetter"/>
      <w:start w:val="9"/>
    </w:lvl>
  </w:abstractNum>
  <w:abstractNum w:abstractNumId="148">
    <w:nsid w:val="CFC7321"/>
    <w:multiLevelType w:val="hybridMultilevel"/>
    <w:lvl w:ilvl="0">
      <w:lvlJc w:val="left"/>
      <w:lvlText w:val="(%1)"/>
      <w:numFmt w:val="upperLetter"/>
      <w:start w:val="1"/>
    </w:lvl>
  </w:abstractNum>
  <w:abstractNum w:abstractNumId="149">
    <w:nsid w:val="1421971B"/>
    <w:multiLevelType w:val="hybridMultilevel"/>
    <w:lvl w:ilvl="0">
      <w:lvlJc w:val="left"/>
      <w:lvlText w:val="(%1)"/>
      <w:numFmt w:val="upperLetter"/>
      <w:start w:val="35"/>
    </w:lvl>
  </w:abstractNum>
  <w:abstractNum w:abstractNumId="150">
    <w:nsid w:val="1F404301"/>
    <w:multiLevelType w:val="hybridMultilevel"/>
    <w:lvl w:ilvl="0">
      <w:lvlJc w:val="left"/>
      <w:lvlText w:val="(%1)"/>
      <w:numFmt w:val="upperLetter"/>
      <w:start w:val="61"/>
    </w:lvl>
  </w:abstractNum>
  <w:abstractNum w:abstractNumId="151">
    <w:nsid w:val="116E0907"/>
    <w:multiLevelType w:val="hybridMultilevel"/>
    <w:lvl w:ilvl="0">
      <w:lvlJc w:val="left"/>
      <w:lvlText w:val="(%1)"/>
      <w:numFmt w:val="upperLetter"/>
      <w:start w:val="1"/>
    </w:lvl>
  </w:abstractNum>
  <w:abstractNum w:abstractNumId="152">
    <w:nsid w:val="4B683D0D"/>
    <w:multiLevelType w:val="hybridMultilevel"/>
    <w:lvl w:ilvl="0">
      <w:lvlJc w:val="left"/>
      <w:lvlText w:val="(%1)"/>
      <w:numFmt w:val="decimal"/>
      <w:start w:val="1"/>
    </w:lvl>
  </w:abstractNum>
  <w:abstractNum w:abstractNumId="153">
    <w:nsid w:val="76E41D8"/>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24"/>
    </w:lvl>
  </w:abstractNum>
  <w:abstractNum w:abstractNumId="154">
    <w:nsid w:val="71DCE0FD"/>
    <w:multiLevelType w:val="hybridMultilevel"/>
    <w:lvl w:ilvl="0">
      <w:lvlJc w:val="left"/>
      <w:lvlText w:val="(%1)"/>
      <w:numFmt w:val="upperLetter"/>
      <w:start w:val="26"/>
    </w:lvl>
    <w:lvl w:ilvl="1">
      <w:lvlJc w:val="left"/>
      <w:lvlText w:val="(%2)"/>
      <w:numFmt w:val="upperLetter"/>
      <w:start w:val="3"/>
    </w:lvl>
  </w:abstractNum>
  <w:abstractNum w:abstractNumId="155">
    <w:nsid w:val="7906328B"/>
    <w:multiLevelType w:val="hybridMultilevel"/>
    <w:lvl w:ilvl="0">
      <w:lvlJc w:val="left"/>
      <w:lvlText w:val="(%1)"/>
      <w:numFmt w:val="upperLetter"/>
      <w:start w:val="4"/>
    </w:lvl>
    <w:lvl w:ilvl="1">
      <w:lvlJc w:val="left"/>
      <w:lvlText w:val="(%2)"/>
      <w:numFmt w:val="lowerRoman"/>
      <w:start w:val="1"/>
    </w:lvl>
  </w:abstractNum>
  <w:abstractNum w:abstractNumId="156">
    <w:nsid w:val="72BBC16"/>
    <w:multiLevelType w:val="hybridMultilevel"/>
    <w:lvl w:ilvl="0">
      <w:lvlJc w:val="left"/>
      <w:lvlText w:val="(%1)"/>
      <w:numFmt w:val="decimal"/>
      <w:start w:val="1"/>
    </w:lvl>
  </w:abstractNum>
  <w:abstractNum w:abstractNumId="157">
    <w:nsid w:val="766D98C2"/>
    <w:multiLevelType w:val="hybridMultilevel"/>
    <w:lvl w:ilvl="0">
      <w:lvlJc w:val="left"/>
      <w:lvlText w:val="%1"/>
      <w:numFmt w:val="decimal"/>
      <w:start w:val="1"/>
    </w:lvl>
    <w:lvl w:ilvl="1">
      <w:lvlJc w:val="left"/>
      <w:lvlText w:val="(%2)"/>
      <w:numFmt w:val="decimal"/>
      <w:start w:val="3"/>
    </w:lvl>
    <w:lvl w:ilvl="2">
      <w:lvlJc w:val="left"/>
      <w:lvlText w:val="(%3)"/>
      <w:numFmt w:val="upperLetter"/>
      <w:start w:val="1"/>
    </w:lvl>
  </w:abstractNum>
  <w:abstractNum w:abstractNumId="158">
    <w:nsid w:val="3C09D4A1"/>
    <w:multiLevelType w:val="hybridMultilevel"/>
    <w:lvl w:ilvl="0">
      <w:lvlJc w:val="left"/>
      <w:lvlText w:val="(%1)"/>
      <w:numFmt w:val="decimal"/>
      <w:start w:val="4"/>
    </w:lvl>
    <w:lvl w:ilvl="1">
      <w:lvlJc w:val="left"/>
      <w:lvlText w:val="%2"/>
      <w:numFmt w:val="decimal"/>
      <w:start w:val="1"/>
    </w:lvl>
    <w:lvl w:ilvl="2">
      <w:lvlJc w:val="left"/>
      <w:lvlText w:val="(%3)"/>
      <w:numFmt w:val="upperLetter"/>
      <w:start w:val="1"/>
    </w:lvl>
  </w:abstractNum>
  <w:abstractNum w:abstractNumId="159">
    <w:nsid w:val="20E45CA4"/>
    <w:multiLevelType w:val="hybridMultilevel"/>
    <w:lvl w:ilvl="0">
      <w:lvlJc w:val="left"/>
      <w:lvlText w:val="%1"/>
      <w:numFmt w:val="upperLetter"/>
      <w:start w:val="1"/>
    </w:lvl>
    <w:lvl w:ilvl="1">
      <w:lvlJc w:val="left"/>
      <w:lvlText w:val="(%2)"/>
      <w:numFmt w:val="upperLetter"/>
      <w:start w:val="2"/>
    </w:lvl>
  </w:abstractNum>
  <w:abstractNum w:abstractNumId="160">
    <w:nsid w:val="4B232EE3"/>
    <w:multiLevelType w:val="hybridMultilevel"/>
    <w:lvl w:ilvl="0">
      <w:lvlJc w:val="left"/>
      <w:lvlText w:val="(%1)"/>
      <w:numFmt w:val="upperLetter"/>
      <w:start w:val="2"/>
    </w:lvl>
    <w:lvl w:ilvl="1">
      <w:lvlJc w:val="left"/>
      <w:lvlText w:val="%2"/>
      <w:numFmt w:val="upperLetter"/>
      <w:start w:val="1"/>
    </w:lvl>
  </w:abstractNum>
  <w:abstractNum w:abstractNumId="161">
    <w:nsid w:val="159C74CF"/>
    <w:multiLevelType w:val="hybridMultilevel"/>
    <w:lvl w:ilvl="0">
      <w:lvlJc w:val="left"/>
      <w:lvlText w:val="(%1)"/>
      <w:numFmt w:val="decimal"/>
      <w:start w:val="5"/>
    </w:lvl>
    <w:lvl w:ilvl="1">
      <w:lvlJc w:val="left"/>
      <w:lvlText w:val="(%2)"/>
      <w:numFmt w:val="upperLetter"/>
      <w:start w:val="2"/>
    </w:lvl>
  </w:abstractNum>
  <w:abstractNum w:abstractNumId="162">
    <w:nsid w:val="4AD3AFD2"/>
    <w:multiLevelType w:val="hybridMultilevel"/>
    <w:lvl w:ilvl="0">
      <w:lvlJc w:val="left"/>
      <w:lvlText w:val="(%1)"/>
      <w:numFmt w:val="decimal"/>
      <w:start w:val="7"/>
    </w:lvl>
  </w:abstractNum>
  <w:abstractNum w:abstractNumId="163">
    <w:nsid w:val="3CF93092"/>
    <w:multiLevelType w:val="hybridMultilevel"/>
    <w:lvl w:ilvl="0">
      <w:lvlJc w:val="left"/>
      <w:lvlText w:val="(%1)"/>
      <w:numFmt w:val="decimal"/>
      <w:start w:val="9"/>
    </w:lvl>
    <w:lvl w:ilvl="1">
      <w:lvlJc w:val="left"/>
      <w:lvlText w:val="(%2)"/>
      <w:numFmt w:val="upperLetter"/>
      <w:start w:val="1"/>
    </w:lvl>
  </w:abstractNum>
  <w:abstractNum w:abstractNumId="164">
    <w:nsid w:val="6863E8D2"/>
    <w:multiLevelType w:val="hybridMultilevel"/>
    <w:lvl w:ilvl="0">
      <w:lvlJc w:val="left"/>
      <w:lvlText w:val="%1"/>
      <w:numFmt w:val="decimal"/>
      <w:start w:val="1"/>
    </w:lvl>
    <w:lvl w:ilvl="1">
      <w:lvlJc w:val="left"/>
      <w:lvlText w:val="(%2)"/>
      <w:numFmt w:val="upperLetter"/>
      <w:start w:val="5"/>
    </w:lvl>
  </w:abstractNum>
  <w:abstractNum w:abstractNumId="165">
    <w:nsid w:val="76896198"/>
    <w:multiLevelType w:val="hybridMultilevel"/>
    <w:lvl w:ilvl="0">
      <w:lvlJc w:val="left"/>
      <w:lvlText w:val="(%1)"/>
      <w:numFmt w:val="decimal"/>
      <w:start w:val="16"/>
    </w:lvl>
    <w:lvl w:ilvl="1">
      <w:lvlJc w:val="left"/>
      <w:lvlText w:val="%2"/>
      <w:numFmt w:val="upperLetter"/>
      <w:start w:val="1"/>
    </w:lvl>
  </w:abstractNum>
  <w:abstractNum w:abstractNumId="166">
    <w:nsid w:val="4365174B"/>
    <w:multiLevelType w:val="hybridMultilevel"/>
    <w:lvl w:ilvl="0">
      <w:lvlJc w:val="left"/>
      <w:lvlText w:val="(%1)"/>
      <w:numFmt w:val="lowerLetter"/>
      <w:start w:val="3"/>
    </w:lvl>
  </w:abstractNum>
  <w:abstractNum w:abstractNumId="167">
    <w:nsid w:val="4A872C35"/>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68">
    <w:nsid w:val="5D5CE761"/>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169">
    <w:nsid w:val="1CD484D5"/>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70">
    <w:nsid w:val="21D0625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71">
    <w:nsid w:val="51194ED1"/>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abstractNum w:abstractNumId="172">
    <w:nsid w:val="44E2ED6C"/>
    <w:multiLevelType w:val="hybridMultilevel"/>
    <w:lvl w:ilvl="0">
      <w:lvlJc w:val="left"/>
      <w:lvlText w:val="(%1)"/>
      <w:numFmt w:val="decimal"/>
      <w:start w:val="13"/>
    </w:lvl>
  </w:abstractNum>
  <w:abstractNum w:abstractNumId="173">
    <w:nsid w:val="2219B33"/>
    <w:multiLevelType w:val="hybridMultilevel"/>
    <w:lvl w:ilvl="0">
      <w:lvlJc w:val="left"/>
      <w:lvlText w:val="%1"/>
      <w:numFmt w:val="decimal"/>
      <w:start w:val="1"/>
    </w:lvl>
    <w:lvl w:ilvl="1">
      <w:lvlJc w:val="left"/>
      <w:lvlText w:val="(%2)"/>
      <w:numFmt w:val="lowerLetter"/>
      <w:start w:val="1"/>
    </w:lvl>
  </w:abstractNum>
  <w:abstractNum w:abstractNumId="174">
    <w:nsid w:val="773BFBDD"/>
    <w:multiLevelType w:val="hybridMultilevel"/>
    <w:lvl w:ilvl="0">
      <w:lvlJc w:val="left"/>
      <w:lvlText w:val="(%1)"/>
      <w:numFmt w:val="decimal"/>
      <w:start w:val="1"/>
    </w:lvl>
    <w:lvl w:ilvl="1">
      <w:lvlJc w:val="left"/>
      <w:lvlText w:val="%2"/>
      <w:numFmt w:val="lowerLetter"/>
      <w:start w:val="1"/>
    </w:lvl>
  </w:abstractNum>
  <w:abstractNum w:abstractNumId="175">
    <w:nsid w:val="2C7C62C2"/>
    <w:multiLevelType w:val="hybridMultilevel"/>
    <w:lvl w:ilvl="0">
      <w:lvlJc w:val="left"/>
      <w:lvlText w:val="(%1)"/>
      <w:numFmt w:val="decimal"/>
      <w:start w:val="4"/>
    </w:lvl>
    <w:lvl w:ilvl="1">
      <w:lvlJc w:val="left"/>
      <w:lvlText w:val="(%2)"/>
      <w:numFmt w:val="upperLetter"/>
      <w:start w:val="1"/>
    </w:lvl>
  </w:abstractNum>
  <w:abstractNum w:abstractNumId="176">
    <w:nsid w:val="1A54D7BC"/>
    <w:multiLevelType w:val="hybridMultilevel"/>
    <w:lvl w:ilvl="0">
      <w:lvlJc w:val="left"/>
      <w:lvlText w:val="(%1)"/>
      <w:numFmt w:val="decimal"/>
      <w:start w:val="9"/>
    </w:lvl>
    <w:lvl w:ilvl="1">
      <w:lvlJc w:val="left"/>
      <w:lvlText w:val="(%2)"/>
      <w:numFmt w:val="upperLetter"/>
      <w:start w:val="1"/>
    </w:lvl>
  </w:abstractNum>
  <w:abstractNum w:abstractNumId="177">
    <w:nsid w:val="42E57EF7"/>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78">
    <w:nsid w:val="33537CED"/>
    <w:multiLevelType w:val="hybridMultilevel"/>
    <w:lvl w:ilvl="0">
      <w:lvlJc w:val="left"/>
      <w:lvlText w:val="(%1)"/>
      <w:numFmt w:val="decimal"/>
      <w:start w:val="14"/>
    </w:lvl>
    <w:lvl w:ilvl="1">
      <w:lvlJc w:val="left"/>
      <w:lvlText w:val="(%2)"/>
      <w:numFmt w:val="upperLetter"/>
      <w:start w:val="1"/>
    </w:lvl>
    <w:lvl w:ilvl="2">
      <w:lvlJc w:val="left"/>
      <w:lvlText w:val="%3"/>
      <w:numFmt w:val="lowerRoman"/>
      <w:start w:val="1"/>
    </w:lvl>
  </w:abstractNum>
  <w:abstractNum w:abstractNumId="179">
    <w:nsid w:val="27514ADE"/>
    <w:multiLevelType w:val="hybridMultilevel"/>
    <w:lvl w:ilvl="0">
      <w:lvlJc w:val="left"/>
      <w:lvlText w:val="%1"/>
      <w:numFmt w:val="decimal"/>
      <w:start w:val="1"/>
    </w:lvl>
    <w:lvl w:ilvl="1">
      <w:lvlJc w:val="left"/>
      <w:lvlText w:val="(%2)"/>
      <w:numFmt w:val="upperLetter"/>
      <w:start w:val="2"/>
    </w:lvl>
  </w:abstractNum>
  <w:abstractNum w:abstractNumId="180">
    <w:nsid w:val="57071613"/>
    <w:multiLevelType w:val="hybridMultilevel"/>
    <w:lvl w:ilvl="0">
      <w:lvlJc w:val="left"/>
      <w:lvlText w:val="(%1)"/>
      <w:numFmt w:val="decimal"/>
      <w:start w:val="15"/>
    </w:lvl>
    <w:lvl w:ilvl="1">
      <w:lvlJc w:val="left"/>
      <w:lvlText w:val="(%2)"/>
      <w:numFmt w:val="upperLetter"/>
      <w:start w:val="2"/>
    </w:lvl>
  </w:abstractNum>
  <w:abstractNum w:abstractNumId="181">
    <w:nsid w:val="5293BFEF"/>
    <w:multiLevelType w:val="hybridMultilevel"/>
    <w:lvl w:ilvl="0">
      <w:lvlJc w:val="left"/>
      <w:lvlText w:val="(%1)"/>
      <w:numFmt w:val="lowerLetter"/>
      <w:start w:val="3"/>
    </w:lvl>
  </w:abstractNum>
  <w:abstractNum w:abstractNumId="182">
    <w:nsid w:val="38BF53E5"/>
    <w:multiLevelType w:val="hybridMultilevel"/>
    <w:lvl w:ilvl="0">
      <w:lvlJc w:val="left"/>
      <w:lvlText w:val="(%1)"/>
      <w:numFmt w:val="decimal"/>
      <w:start w:val="1"/>
    </w:lvl>
  </w:abstractNum>
  <w:abstractNum w:abstractNumId="183">
    <w:nsid w:val="226F5320"/>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84">
    <w:nsid w:val="5A0201C7"/>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85">
    <w:nsid w:val="2A9C34E2"/>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186">
    <w:nsid w:val="1B7585A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87">
    <w:nsid w:val="612DBDDD"/>
    <w:multiLevelType w:val="hybridMultilevel"/>
    <w:lvl w:ilvl="0">
      <w:lvlJc w:val="left"/>
      <w:lvlText w:val="(%1)"/>
      <w:numFmt w:val="decimal"/>
      <w:start w:val="2"/>
    </w:lvl>
  </w:abstractNum>
  <w:abstractNum w:abstractNumId="188">
    <w:nsid w:val="2109CDA4"/>
    <w:multiLevelType w:val="hybridMultilevel"/>
    <w:lvl w:ilvl="0">
      <w:lvlJc w:val="left"/>
      <w:lvlText w:val="(%1)"/>
      <w:numFmt w:val="lowerLetter"/>
      <w:start w:val="3"/>
    </w:lvl>
  </w:abstractNum>
  <w:abstractNum w:abstractNumId="189">
    <w:nsid w:val="577F5A4D"/>
    <w:multiLevelType w:val="hybridMultilevel"/>
    <w:lvl w:ilvl="0">
      <w:lvlJc w:val="left"/>
      <w:lvlText w:val="(%1)"/>
      <w:numFmt w:val="lowerLetter"/>
      <w:start w:val="4"/>
    </w:lvl>
  </w:abstractNum>
  <w:abstractNum w:abstractNumId="190">
    <w:nsid w:val="2121A81"/>
    <w:multiLevelType w:val="hybridMultilevel"/>
    <w:lvl w:ilvl="0">
      <w:lvlJc w:val="left"/>
      <w:lvlText w:val="(%1)"/>
      <w:numFmt w:val="decimal"/>
      <w:start w:val="1"/>
    </w:lvl>
  </w:abstractNum>
  <w:abstractNum w:abstractNumId="191">
    <w:nsid w:val="6C2CFC88"/>
    <w:multiLevelType w:val="hybridMultilevel"/>
    <w:lvl w:ilvl="0">
      <w:lvlJc w:val="left"/>
      <w:lvlText w:val="(%1)"/>
      <w:numFmt w:val="decimal"/>
      <w:start w:val="1"/>
    </w:lvl>
  </w:abstractNum>
  <w:abstractNum w:abstractNumId="192">
    <w:nsid w:val="6D1BCF1C"/>
    <w:multiLevelType w:val="hybridMultilevel"/>
    <w:lvl w:ilvl="0">
      <w:lvlJc w:val="left"/>
      <w:lvlText w:val="(%1)"/>
      <w:numFmt w:val="decimal"/>
      <w:start w:val="6"/>
    </w:lvl>
  </w:abstractNum>
  <w:abstractNum w:abstractNumId="193">
    <w:nsid w:val="4CE5CA53"/>
    <w:multiLevelType w:val="hybridMultilevel"/>
    <w:lvl w:ilvl="0">
      <w:lvlJc w:val="left"/>
      <w:lvlText w:val="(%1)"/>
      <w:numFmt w:val="decimal"/>
      <w:start w:val="15"/>
    </w:lvl>
  </w:abstractNum>
  <w:abstractNum w:abstractNumId="194">
    <w:nsid w:val="29262D1A"/>
    <w:multiLevelType w:val="hybridMultilevel"/>
    <w:lvl w:ilvl="0">
      <w:lvlJc w:val="left"/>
      <w:lvlText w:val="(%1)"/>
      <w:numFmt w:val="decimal"/>
      <w:start w:val="1"/>
    </w:lvl>
  </w:abstractNum>
  <w:abstractNum w:abstractNumId="195">
    <w:nsid w:val="557FB7EE"/>
    <w:multiLevelType w:val="hybridMultilevel"/>
    <w:lvl w:ilvl="0">
      <w:lvlJc w:val="left"/>
      <w:lvlText w:val="(%1)"/>
      <w:numFmt w:val="decimal"/>
      <w:start w:val="1"/>
    </w:lvl>
  </w:abstractNum>
  <w:abstractNum w:abstractNumId="196">
    <w:nsid w:val="436F2BEB"/>
    <w:multiLevelType w:val="hybridMultilevel"/>
    <w:lvl w:ilvl="0">
      <w:lvlJc w:val="left"/>
      <w:lvlText w:val="(%1)"/>
      <w:numFmt w:val="lowerLetter"/>
      <w:start w:val="1"/>
    </w:lvl>
  </w:abstractNum>
  <w:abstractNum w:abstractNumId="197">
    <w:nsid w:val="6C8B4466"/>
    <w:multiLevelType w:val="hybridMultilevel"/>
    <w:lvl w:ilvl="0">
      <w:lvlJc w:val="left"/>
      <w:lvlText w:val="(%1)"/>
      <w:numFmt w:val="decimal"/>
      <w:start w:val="1"/>
    </w:lvl>
    <w:lvl w:ilvl="1">
      <w:lvlJc w:val="left"/>
      <w:lvlText w:val="(%2)"/>
      <w:numFmt w:val="lowerLetter"/>
      <w:start w:val="3"/>
    </w:lvl>
  </w:abstractNum>
  <w:abstractNum w:abstractNumId="198">
    <w:nsid w:val="2006E424"/>
    <w:multiLevelType w:val="hybridMultilevel"/>
    <w:lvl w:ilvl="0">
      <w:lvlJc w:val="left"/>
      <w:lvlText w:val="(%1)"/>
      <w:numFmt w:val="decimal"/>
      <w:start w:val="1"/>
    </w:lvl>
  </w:abstractNum>
  <w:abstractNum w:abstractNumId="199">
    <w:nsid w:val="20CC134C"/>
    <w:multiLevelType w:val="hybridMultilevel"/>
    <w:lvl w:ilvl="0">
      <w:lvlJc w:val="left"/>
      <w:lvlText w:val="(%1)"/>
      <w:numFmt w:val="decimal"/>
      <w:start w:val="3"/>
    </w:lvl>
    <w:lvl w:ilvl="1">
      <w:lvlJc w:val="left"/>
      <w:lvlText w:val="(%2)"/>
      <w:numFmt w:val="upperLetter"/>
      <w:start w:val="1"/>
    </w:lvl>
  </w:abstractNum>
  <w:abstractNum w:abstractNumId="200">
    <w:nsid w:val="95FC93B"/>
    <w:multiLevelType w:val="hybridMultilevel"/>
    <w:lvl w:ilvl="0">
      <w:lvlJc w:val="left"/>
      <w:lvlText w:val="(%1)"/>
      <w:numFmt w:val="lowerLetter"/>
      <w:start w:val="1"/>
    </w:lvl>
  </w:abstractNum>
  <w:abstractNum w:abstractNumId="201">
    <w:nsid w:val="41D74679"/>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02">
    <w:nsid w:val="71E5621E"/>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03">
    <w:nsid w:val="4E42B6A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204">
    <w:nsid w:val="43F8E1AC"/>
    <w:multiLevelType w:val="hybridMultilevel"/>
    <w:lvl w:ilvl="0">
      <w:lvlJc w:val="left"/>
      <w:lvlText w:val="(%1)"/>
      <w:numFmt w:val="decimal"/>
      <w:start w:val="5"/>
    </w:lvl>
    <w:lvl w:ilvl="1">
      <w:lvlJc w:val="left"/>
      <w:lvlText w:val="(%2)"/>
      <w:numFmt w:val="lowerLetter"/>
      <w:start w:val="2"/>
    </w:lvl>
    <w:lvl w:ilvl="2">
      <w:lvlJc w:val="left"/>
      <w:lvlText w:val="%3"/>
      <w:numFmt w:val="upperLetter"/>
      <w:start w:val="1"/>
    </w:lvl>
  </w:abstractNum>
  <w:abstractNum w:abstractNumId="205">
    <w:nsid w:val="69215DFB"/>
    <w:multiLevelType w:val="hybridMultilevel"/>
    <w:lvl w:ilvl="0">
      <w:lvlJc w:val="left"/>
      <w:lvlText w:val="(%1)"/>
      <w:numFmt w:val="decimal"/>
      <w:start w:val="1"/>
    </w:lvl>
    <w:lvl w:ilvl="1">
      <w:lvlJc w:val="left"/>
      <w:lvlText w:val="(%2)"/>
      <w:numFmt w:val="lowerLetter"/>
      <w:start w:val="3"/>
    </w:lvl>
  </w:abstractNum>
  <w:abstractNum w:abstractNumId="206">
    <w:nsid w:val="7ABF196A"/>
    <w:multiLevelType w:val="hybridMultilevel"/>
    <w:lvl w:ilvl="0">
      <w:lvlJc w:val="left"/>
      <w:lvlText w:val="(%1)"/>
      <w:numFmt w:val="decimal"/>
      <w:start w:val="1"/>
    </w:lvl>
  </w:abstractNum>
  <w:abstractNum w:abstractNumId="207">
    <w:nsid w:val="5E4DB968"/>
    <w:multiLevelType w:val="hybridMultilevel"/>
    <w:lvl w:ilvl="0">
      <w:lvlJc w:val="left"/>
      <w:lvlText w:val="(%1)"/>
      <w:numFmt w:val="decimal"/>
      <w:start w:val="3"/>
    </w:lvl>
    <w:lvl w:ilvl="1">
      <w:lvlJc w:val="left"/>
      <w:lvlText w:val="(%2)"/>
      <w:numFmt w:val="lowerLetter"/>
      <w:start w:val="4"/>
    </w:lvl>
    <w:lvl w:ilvl="2">
      <w:lvlJc w:val="left"/>
      <w:lvlText w:val="(%3)"/>
      <w:numFmt w:val="upperLetter"/>
      <w:start w:val="1"/>
    </w:lvl>
  </w:abstractNum>
  <w:abstractNum w:abstractNumId="208">
    <w:nsid w:val="2C06DCF3"/>
    <w:multiLevelType w:val="hybridMultilevel"/>
    <w:lvl w:ilvl="0">
      <w:lvlJc w:val="left"/>
      <w:lvlText w:val="(%1)"/>
      <w:numFmt w:val="decimal"/>
      <w:start w:val="2"/>
    </w:lvl>
    <w:lvl w:ilvl="1">
      <w:lvlJc w:val="left"/>
      <w:lvlText w:val="(%2)"/>
      <w:numFmt w:val="lowerLetter"/>
      <w:start w:val="5"/>
    </w:lvl>
  </w:abstractNum>
  <w:abstractNum w:abstractNumId="209">
    <w:nsid w:val="2E129658"/>
    <w:multiLevelType w:val="hybridMultilevel"/>
    <w:lvl w:ilvl="0">
      <w:lvlJc w:val="left"/>
      <w:lvlText w:val="(%1)"/>
      <w:numFmt w:val="decimal"/>
      <w:start w:val="1"/>
    </w:lvl>
    <w:lvl w:ilvl="1">
      <w:lvlJc w:val="left"/>
      <w:lvlText w:val="(%2)"/>
      <w:numFmt w:val="upperLetter"/>
      <w:start w:val="2"/>
    </w:lvl>
  </w:abstractNum>
  <w:abstractNum w:abstractNumId="210">
    <w:nsid w:val="59F0446"/>
    <w:multiLevelType w:val="hybridMultilevel"/>
    <w:lvl w:ilvl="0">
      <w:lvlJc w:val="left"/>
      <w:lvlText w:val="%1"/>
      <w:numFmt w:val="decimal"/>
      <w:start w:val="1"/>
    </w:lvl>
    <w:lvl w:ilvl="1">
      <w:lvlJc w:val="left"/>
      <w:lvlText w:val="(%2)"/>
      <w:numFmt w:val="upperLetter"/>
      <w:start w:val="3"/>
    </w:lvl>
  </w:abstractNum>
  <w:abstractNum w:abstractNumId="211">
    <w:nsid w:val="30DF306"/>
    <w:multiLevelType w:val="hybridMultilevel"/>
    <w:lvl w:ilvl="0">
      <w:lvlJc w:val="left"/>
      <w:lvlText w:val="(%1)"/>
      <w:numFmt w:val="decimal"/>
      <w:start w:val="2"/>
    </w:lvl>
    <w:lvl w:ilvl="1">
      <w:lvlJc w:val="left"/>
      <w:lvlText w:val="%2"/>
      <w:numFmt w:val="upperLetter"/>
      <w:start w:val="1"/>
    </w:lvl>
  </w:abstractNum>
  <w:abstractNum w:abstractNumId="212">
    <w:nsid w:val="A65647"/>
    <w:multiLevelType w:val="hybridMultilevel"/>
    <w:lvl w:ilvl="0">
      <w:lvlJc w:val="left"/>
      <w:lvlText w:val="(%1)"/>
      <w:numFmt w:val="lowerLetter"/>
      <w:start w:val="6"/>
    </w:lvl>
  </w:abstractNum>
  <w:abstractNum w:abstractNumId="213">
    <w:nsid w:val="3E5E582B"/>
    <w:multiLevelType w:val="hybridMultilevel"/>
    <w:lvl w:ilvl="0">
      <w:lvlJc w:val="left"/>
      <w:lvlText w:val="(%1)"/>
      <w:numFmt w:val="decimal"/>
      <w:start w:val="1"/>
    </w:lvl>
    <w:lvl w:ilvl="1">
      <w:lvlJc w:val="left"/>
      <w:lvlText w:val="(%2)"/>
      <w:numFmt w:val="upperLetter"/>
      <w:start w:val="1"/>
    </w:lvl>
  </w:abstractNum>
  <w:abstractNum w:abstractNumId="214">
    <w:nsid w:val="257D4626"/>
    <w:multiLevelType w:val="hybridMultilevel"/>
    <w:lvl w:ilvl="0">
      <w:lvlJc w:val="left"/>
      <w:lvlText w:val="(%1)"/>
      <w:numFmt w:val="lowerRoman"/>
      <w:start w:val="1"/>
    </w:lvl>
  </w:abstractNum>
  <w:abstractNum w:abstractNumId="215">
    <w:nsid w:val="5AA8580E"/>
    <w:multiLevelType w:val="hybridMultilevel"/>
    <w:lvl w:ilvl="0">
      <w:lvlJc w:val="left"/>
      <w:lvlText w:val="%1"/>
      <w:numFmt w:val="decimal"/>
      <w:start w:val="1"/>
    </w:lvl>
    <w:lvl w:ilvl="1">
      <w:lvlJc w:val="left"/>
      <w:lvlText w:val="(%2)"/>
      <w:numFmt w:val="lowerRoman"/>
      <w:start w:val="3"/>
    </w:lvl>
  </w:abstractNum>
  <w:abstractNum w:abstractNumId="216">
    <w:nsid w:val="68FA8D0D"/>
    <w:multiLevelType w:val="hybridMultilevel"/>
    <w:lvl w:ilvl="0">
      <w:lvlJc w:val="left"/>
      <w:lvlText w:val="(%1)"/>
      <w:numFmt w:val="decimal"/>
      <w:start w:val="7"/>
    </w:lvl>
    <w:lvl w:ilvl="1">
      <w:lvlJc w:val="left"/>
      <w:lvlText w:val="%2"/>
      <w:numFmt w:val="lowerRoman"/>
      <w:start w:val="1"/>
    </w:lvl>
  </w:abstractNum>
  <w:abstractNum w:abstractNumId="217">
    <w:nsid w:val="40F2CBD2"/>
    <w:multiLevelType w:val="hybridMultilevel"/>
    <w:lvl w:ilvl="0">
      <w:lvlJc w:val="left"/>
      <w:lvlText w:val="(%1)"/>
      <w:numFmt w:val="lowerRoman"/>
      <w:start w:val="1"/>
    </w:lvl>
  </w:abstractNum>
  <w:abstractNum w:abstractNumId="218">
    <w:nsid w:val="3BD615EB"/>
    <w:multiLevelType w:val="hybridMultilevel"/>
    <w:lvl w:ilvl="0">
      <w:lvlJc w:val="left"/>
      <w:lvlText w:val="(%1)"/>
      <w:numFmt w:val="decimal"/>
      <w:start w:val="8"/>
    </w:lvl>
  </w:abstractNum>
  <w:abstractNum w:abstractNumId="219">
    <w:nsid w:val="A045AB2"/>
    <w:multiLevelType w:val="hybridMultilevel"/>
    <w:lvl w:ilvl="0">
      <w:lvlJc w:val="left"/>
      <w:lvlText w:val="(%1)"/>
      <w:numFmt w:val="decimal"/>
      <w:start w:val="1"/>
    </w:lvl>
  </w:abstractNum>
  <w:abstractNum w:abstractNumId="220">
    <w:nsid w:val="1872261F"/>
    <w:multiLevelType w:val="hybridMultilevel"/>
    <w:lvl w:ilvl="0">
      <w:lvlJc w:val="left"/>
      <w:lvlText w:val="(%1)"/>
      <w:numFmt w:val="decimal"/>
      <w:start w:val="1"/>
    </w:lvl>
  </w:abstractNum>
  <w:abstractNum w:abstractNumId="221">
    <w:nsid w:val="3DE8306C"/>
    <w:multiLevelType w:val="hybridMultilevel"/>
    <w:lvl w:ilvl="0">
      <w:lvlJc w:val="left"/>
      <w:lvlText w:val="(%1)"/>
      <w:numFmt w:val="lowerRoman"/>
      <w:start w:val="1"/>
    </w:lvl>
  </w:abstractNum>
  <w:abstractNum w:abstractNumId="222">
    <w:nsid w:val="7631573A"/>
    <w:multiLevelType w:val="hybridMultilevel"/>
    <w:lvl w:ilvl="0">
      <w:lvlJc w:val="left"/>
      <w:lvlText w:val="%1"/>
      <w:numFmt w:val="lowerRoman"/>
      <w:start w:val="1"/>
    </w:lvl>
    <w:lvl w:ilvl="1">
      <w:lvlJc w:val="left"/>
      <w:lvlText w:val="(%2)"/>
      <w:numFmt w:val="lowerLetter"/>
      <w:start w:val="1"/>
    </w:lvl>
  </w:abstractNum>
  <w:abstractNum w:abstractNumId="223">
    <w:nsid w:val="58DF53B"/>
    <w:multiLevelType w:val="hybridMultilevel"/>
    <w:lvl w:ilvl="0">
      <w:lvlJc w:val="left"/>
      <w:lvlText w:val="(%1)"/>
      <w:numFmt w:val="lowerRoman"/>
      <w:start w:val="1"/>
    </w:lvl>
    <w:lvl w:ilvl="1">
      <w:lvlJc w:val="left"/>
      <w:lvlText w:val="(%2)"/>
      <w:numFmt w:val="lowerLetter"/>
      <w:start w:val="3"/>
    </w:lvl>
  </w:abstractNum>
  <w:abstractNum w:abstractNumId="224">
    <w:nsid w:val="ACDFAC0"/>
    <w:multiLevelType w:val="hybridMultilevel"/>
    <w:lvl w:ilvl="0">
      <w:lvlJc w:val="left"/>
      <w:lvlText w:val="(%1)"/>
      <w:numFmt w:val="lowerRoman"/>
      <w:start w:val="1"/>
    </w:lvl>
    <w:lvl w:ilvl="1">
      <w:lvlJc w:val="left"/>
      <w:lvlText w:val="(%2)"/>
      <w:numFmt w:val="lowerLetter"/>
      <w:start w:val="4"/>
    </w:lvl>
  </w:abstractNum>
  <w:abstractNum w:abstractNumId="225">
    <w:nsid w:val="1F578454"/>
    <w:multiLevelType w:val="hybridMultilevel"/>
    <w:lvl w:ilvl="0">
      <w:lvlJc w:val="left"/>
      <w:lvlText w:val="(%1)"/>
      <w:numFmt w:val="lowerLetter"/>
      <w:start w:val="1"/>
    </w:lvl>
  </w:abstractNum>
  <w:abstractNum w:abstractNumId="226">
    <w:nsid w:val="5B0DAD2A"/>
    <w:multiLevelType w:val="hybridMultilevel"/>
    <w:lvl w:ilvl="0">
      <w:lvlJc w:val="left"/>
      <w:lvlText w:val="(%1)"/>
      <w:numFmt w:val="lowerLetter"/>
      <w:start w:val="6"/>
    </w:lvl>
  </w:abstractNum>
  <w:abstractNum w:abstractNumId="227">
    <w:nsid w:val="4E3D26AB"/>
    <w:multiLevelType w:val="hybridMultilevel"/>
    <w:lvl w:ilvl="0">
      <w:lvlJc w:val="left"/>
      <w:lvlText w:val="(%1)"/>
      <w:numFmt w:val="upperLetter"/>
      <w:start w:val="2"/>
    </w:lvl>
  </w:abstractNum>
  <w:abstractNum w:abstractNumId="228">
    <w:nsid w:val="BE2C8BA"/>
    <w:multiLevelType w:val="hybridMultilevel"/>
    <w:lvl w:ilvl="0">
      <w:lvlJc w:val="left"/>
      <w:lvlText w:val="(%1)"/>
      <w:numFmt w:val="upperLetter"/>
      <w:start w:val="1"/>
    </w:lvl>
  </w:abstractNum>
  <w:abstractNum w:abstractNumId="229">
    <w:nsid w:val="7B14914E"/>
    <w:multiLevelType w:val="hybridMultilevel"/>
    <w:lvl w:ilvl="0">
      <w:lvlJc w:val="left"/>
      <w:lvlText w:val="(%1)"/>
      <w:numFmt w:val="decimal"/>
      <w:start w:val="1"/>
    </w:lvl>
    <w:lvl w:ilvl="1">
      <w:lvlJc w:val="left"/>
      <w:lvlText w:val="(%2)"/>
      <w:numFmt w:val="upperLetter"/>
      <w:start w:val="1"/>
    </w:lvl>
  </w:abstractNum>
  <w:abstractNum w:abstractNumId="230">
    <w:nsid w:val="6F0939F8"/>
    <w:multiLevelType w:val="hybridMultilevel"/>
    <w:lvl w:ilvl="0">
      <w:lvlJc w:val="left"/>
      <w:lvlText w:val="(%1)"/>
      <w:numFmt w:val="decimal"/>
      <w:start w:val="3"/>
    </w:lvl>
  </w:abstractNum>
  <w:abstractNum w:abstractNumId="231">
    <w:nsid w:val="154291F6"/>
    <w:multiLevelType w:val="hybridMultilevel"/>
    <w:lvl w:ilvl="0">
      <w:lvlJc w:val="left"/>
      <w:lvlText w:val="(%1)"/>
      <w:numFmt w:val="decimal"/>
      <w:start w:val="1"/>
    </w:lvl>
  </w:abstractNum>
  <w:abstractNum w:abstractNumId="232">
    <w:nsid w:val="3CEBD7C7"/>
    <w:multiLevelType w:val="hybridMultilevel"/>
    <w:lvl w:ilvl="0">
      <w:lvlJc w:val="left"/>
      <w:lvlText w:val="(%1)"/>
      <w:numFmt w:val="decimal"/>
      <w:start w:val="7"/>
    </w:lvl>
  </w:abstractNum>
  <w:abstractNum w:abstractNumId="233">
    <w:nsid w:val="60EE9C16"/>
    <w:multiLevelType w:val="hybridMultilevel"/>
    <w:lvl w:ilvl="0">
      <w:lvlJc w:val="left"/>
      <w:lvlText w:val="(%1)"/>
      <w:numFmt w:val="decimal"/>
      <w:start w:val="1"/>
    </w:lvl>
  </w:abstractNum>
  <w:abstractNum w:abstractNumId="234">
    <w:nsid w:val="6385489E"/>
    <w:multiLevelType w:val="hybridMultilevel"/>
    <w:lvl w:ilvl="0">
      <w:lvlJc w:val="left"/>
      <w:lvlText w:val="(%1)"/>
      <w:numFmt w:val="decimal"/>
      <w:start w:val="9"/>
    </w:lvl>
  </w:abstractNum>
  <w:abstractNum w:abstractNumId="235">
    <w:nsid w:val="E4B973"/>
    <w:multiLevelType w:val="hybridMultilevel"/>
    <w:lvl w:ilvl="0">
      <w:lvlJc w:val="left"/>
      <w:lvlText w:val="(%1)"/>
      <w:numFmt w:val="decimal"/>
      <w:start w:val="1"/>
    </w:lvl>
  </w:abstractNum>
  <w:abstractNum w:abstractNumId="236">
    <w:nsid w:val="4A0FFA11"/>
    <w:multiLevelType w:val="hybridMultilevel"/>
    <w:lvl w:ilvl="0">
      <w:lvlJc w:val="left"/>
      <w:lvlText w:val="(%1)"/>
      <w:numFmt w:val="decimal"/>
      <w:start w:val="1"/>
    </w:lvl>
    <w:lvl w:ilvl="1">
      <w:lvlJc w:val="left"/>
      <w:lvlText w:val="(%2)"/>
      <w:numFmt w:val="upperLetter"/>
      <w:start w:val="2"/>
    </w:lvl>
  </w:abstractNum>
  <w:abstractNum w:abstractNumId="237">
    <w:nsid w:val="5E446208"/>
    <w:multiLevelType w:val="hybridMultilevel"/>
    <w:lvl w:ilvl="0">
      <w:lvlJc w:val="left"/>
      <w:lvlText w:val="(%1)"/>
      <w:numFmt w:val="lowerLetter"/>
      <w:start w:val="1"/>
    </w:lvl>
  </w:abstractNum>
  <w:abstractNum w:abstractNumId="238">
    <w:nsid w:val="5F3272DB"/>
    <w:multiLevelType w:val="hybridMultilevel"/>
    <w:lvl w:ilvl="0">
      <w:lvlJc w:val="left"/>
      <w:lvlText w:val="%1"/>
      <w:numFmt w:val="lowerRoman"/>
      <w:start w:val="1"/>
    </w:lvl>
    <w:lvl w:ilvl="1">
      <w:lvlJc w:val="left"/>
      <w:lvlText w:val="(%2)"/>
      <w:numFmt w:val="lowerLetter"/>
      <w:start w:val="2"/>
    </w:lvl>
  </w:abstractNum>
  <w:abstractNum w:abstractNumId="239">
    <w:nsid w:val="7616D704"/>
    <w:multiLevelType w:val="hybridMultilevel"/>
    <w:lvl w:ilvl="0">
      <w:lvlJc w:val="left"/>
      <w:lvlText w:val="(%1)"/>
      <w:numFmt w:val="lowerRoman"/>
      <w:start w:val="1"/>
    </w:lvl>
    <w:lvl w:ilvl="1">
      <w:lvlJc w:val="left"/>
      <w:lvlText w:val="(%2)"/>
      <w:numFmt w:val="lowerLetter"/>
      <w:start w:val="3"/>
    </w:lvl>
  </w:abstractNum>
  <w:abstractNum w:abstractNumId="240">
    <w:nsid w:val="C56F860"/>
    <w:multiLevelType w:val="hybridMultilevel"/>
    <w:lvl w:ilvl="0">
      <w:lvlJc w:val="left"/>
      <w:lvlText w:val="(%1)"/>
      <w:numFmt w:val="lowerLetter"/>
      <w:start w:val="1"/>
    </w:lvl>
  </w:abstractNum>
  <w:abstractNum w:abstractNumId="241">
    <w:nsid w:val="64D17722"/>
    <w:multiLevelType w:val="hybridMultilevel"/>
    <w:lvl w:ilvl="0">
      <w:lvlJc w:val="left"/>
      <w:lvlText w:val="(%1)"/>
      <w:numFmt w:val="lowerLetter"/>
      <w:start w:val="1"/>
    </w:lvl>
  </w:abstractNum>
  <w:abstractNum w:abstractNumId="242">
    <w:nsid w:val="7924CA0A"/>
    <w:multiLevelType w:val="hybridMultilevel"/>
    <w:lvl w:ilvl="0">
      <w:lvlJc w:val="left"/>
      <w:lvlText w:val="(%1)"/>
      <w:numFmt w:val="lowerLetter"/>
      <w:start w:val="3"/>
    </w:lvl>
  </w:abstractNum>
  <w:abstractNum w:abstractNumId="243">
    <w:nsid w:val="CFD4EA7"/>
    <w:multiLevelType w:val="hybridMultilevel"/>
    <w:lvl w:ilvl="0">
      <w:lvlJc w:val="left"/>
      <w:lvlText w:val="%1"/>
      <w:numFmt w:val="lowerLetter"/>
      <w:start w:val="1"/>
    </w:lvl>
    <w:lvl w:ilvl="1">
      <w:lvlJc w:val="left"/>
      <w:lvlText w:val="(%2)"/>
      <w:numFmt w:val="lowerLetter"/>
      <w:start w:val="1"/>
    </w:lvl>
  </w:abstractNum>
  <w:abstractNum w:abstractNumId="244">
    <w:nsid w:val="232FCF4D"/>
    <w:multiLevelType w:val="hybridMultilevel"/>
    <w:lvl w:ilvl="0">
      <w:lvlJc w:val="left"/>
      <w:lvlText w:val="(%1)"/>
      <w:numFmt w:val="lowerLetter"/>
      <w:start w:val="9"/>
    </w:lvl>
    <w:lvl w:ilvl="1">
      <w:lvlJc w:val="left"/>
      <w:lvlText w:val="%2"/>
      <w:numFmt w:val="lowerLetter"/>
      <w:start w:val="1"/>
    </w:lvl>
  </w:abstractNum>
  <w:abstractNum w:abstractNumId="245">
    <w:nsid w:val="1EA21031"/>
    <w:multiLevelType w:val="hybridMultilevel"/>
    <w:lvl w:ilvl="0">
      <w:lvlJc w:val="left"/>
      <w:lvlText w:val="(%1)"/>
      <w:numFmt w:val="lowerRoman"/>
      <w:start w:val="2"/>
    </w:lvl>
    <w:lvl w:ilvl="1">
      <w:lvlJc w:val="left"/>
      <w:lvlText w:val="(%2)"/>
      <w:numFmt w:val="lowerLetter"/>
      <w:start w:val="2"/>
    </w:lvl>
  </w:abstractNum>
  <w:abstractNum w:abstractNumId="246">
    <w:nsid w:val="67A5A6B5"/>
    <w:multiLevelType w:val="hybridMultilevel"/>
    <w:lvl w:ilvl="0">
      <w:lvlJc w:val="left"/>
      <w:lvlText w:val="%1"/>
      <w:numFmt w:val="lowerRoman"/>
      <w:start w:val="1"/>
    </w:lvl>
    <w:lvl w:ilvl="1">
      <w:lvlJc w:val="left"/>
      <w:lvlText w:val="(%2)"/>
      <w:numFmt w:val="lowerLetter"/>
      <w:start w:val="1"/>
    </w:lvl>
  </w:abstractNum>
  <w:abstractNum w:abstractNumId="247">
    <w:nsid w:val="C2A5C5B"/>
    <w:multiLevelType w:val="hybridMultilevel"/>
    <w:lvl w:ilvl="0">
      <w:lvlJc w:val="left"/>
      <w:lvlText w:val="(%1)"/>
      <w:numFmt w:val="lowerRoman"/>
      <w:start w:val="1"/>
    </w:lvl>
    <w:lvl w:ilvl="1">
      <w:lvlJc w:val="left"/>
      <w:lvlText w:val="%2"/>
      <w:numFmt w:val="lowerLetter"/>
      <w:start w:val="1"/>
    </w:lvl>
  </w:abstractNum>
  <w:abstractNum w:abstractNumId="248">
    <w:nsid w:val="5F94DC03"/>
    <w:multiLevelType w:val="hybridMultilevel"/>
    <w:lvl w:ilvl="0">
      <w:lvlJc w:val="left"/>
      <w:lvlText w:val="(%1)"/>
      <w:numFmt w:val="lowerRoman"/>
      <w:start w:val="4"/>
    </w:lvl>
  </w:abstractNum>
  <w:abstractNum w:abstractNumId="249">
    <w:nsid w:val="237BBCA0"/>
    <w:multiLevelType w:val="hybridMultilevel"/>
    <w:lvl w:ilvl="0">
      <w:lvlJc w:val="left"/>
      <w:lvlText w:val="(%1)"/>
      <w:numFmt w:val="lowerLetter"/>
      <w:start w:val="2"/>
    </w:lvl>
  </w:abstractNum>
  <w:abstractNum w:abstractNumId="250">
    <w:nsid w:val="162EB70D"/>
    <w:multiLevelType w:val="hybridMultilevel"/>
    <w:lvl w:ilvl="0">
      <w:lvlJc w:val="left"/>
      <w:lvlText w:val="(%1)"/>
      <w:numFmt w:val="lowerLetter"/>
      <w:start w:val="1"/>
    </w:lvl>
  </w:abstractNum>
  <w:abstractNum w:abstractNumId="251">
    <w:nsid w:val="78070222"/>
    <w:multiLevelType w:val="hybridMultilevel"/>
    <w:lvl w:ilvl="0">
      <w:lvlJc w:val="left"/>
      <w:lvlText w:val="(%1)"/>
      <w:numFmt w:val="lowerLetter"/>
      <w:start w:val="2"/>
    </w:lvl>
  </w:abstractNum>
  <w:abstractNum w:abstractNumId="252">
    <w:nsid w:val="6163ED0D"/>
    <w:multiLevelType w:val="hybridMultilevel"/>
    <w:lvl w:ilvl="0">
      <w:lvlJc w:val="left"/>
      <w:lvlText w:val="(%1)"/>
      <w:numFmt w:val="decimal"/>
      <w:start w:val="1"/>
    </w:lvl>
    <w:lvl w:ilvl="1">
      <w:lvlJc w:val="left"/>
      <w:lvlText w:val="(%2)"/>
      <w:numFmt w:val="upperLetter"/>
      <w:start w:val="2"/>
    </w:lvl>
  </w:abstractNum>
  <w:abstractNum w:abstractNumId="253">
    <w:nsid w:val="C600E47"/>
    <w:multiLevelType w:val="hybridMultilevel"/>
    <w:lvl w:ilvl="0">
      <w:lvlJc w:val="left"/>
      <w:lvlText w:val="(%1)"/>
      <w:numFmt w:val="upperLetter"/>
      <w:start w:val="1"/>
    </w:lvl>
  </w:abstractNum>
  <w:abstractNum w:abstractNumId="254">
    <w:nsid w:val="7D94F75D"/>
    <w:multiLevelType w:val="hybridMultilevel"/>
    <w:lvl w:ilvl="0">
      <w:lvlJc w:val="left"/>
      <w:lvlText w:val="(%1)"/>
      <w:numFmt w:val="upperLetter"/>
      <w:start w:val="1"/>
    </w:lvl>
  </w:abstractNum>
  <w:abstractNum w:abstractNumId="255">
    <w:nsid w:val="6C31E7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256">
    <w:nsid w:val="2BB792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2"/>
    </w:lvl>
  </w:abstractNum>
  <w:abstractNum w:abstractNumId="257">
    <w:nsid w:val="58A2A48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258">
    <w:nsid w:val="3A6F0E78"/>
    <w:multiLevelType w:val="hybridMultilevel"/>
    <w:lvl w:ilvl="0">
      <w:lvlJc w:val="left"/>
      <w:lvlText w:val="(%1)"/>
      <w:numFmt w:val="lowerLetter"/>
      <w:start w:val="3"/>
    </w:lvl>
  </w:abstractNum>
  <w:abstractNum w:abstractNumId="259">
    <w:nsid w:val="379A5B56"/>
    <w:multiLevelType w:val="hybridMultilevel"/>
    <w:lvl w:ilvl="0">
      <w:lvlJc w:val="left"/>
      <w:lvlText w:val="(%1)"/>
      <w:numFmt w:val="lowerLetter"/>
      <w:start w:val="2"/>
    </w:lvl>
  </w:abstractNum>
  <w:abstractNum w:abstractNumId="260">
    <w:nsid w:val="53B735D5"/>
    <w:multiLevelType w:val="hybridMultilevel"/>
    <w:lvl w:ilvl="0">
      <w:lvlJc w:val="left"/>
      <w:lvlText w:val="%1"/>
      <w:numFmt w:val="lowerLetter"/>
      <w:start w:val="1"/>
    </w:lvl>
    <w:lvl w:ilvl="1">
      <w:lvlJc w:val="left"/>
      <w:lvlText w:val="%2."/>
      <w:numFmt w:val="decimal"/>
      <w:start w:val="1"/>
    </w:lvl>
  </w:abstractNum>
  <w:abstractNum w:abstractNumId="261">
    <w:nsid w:val="29784870"/>
    <w:multiLevelType w:val="hybridMultilevel"/>
    <w:lvl w:ilvl="0">
      <w:lvlJc w:val="left"/>
      <w:lvlText w:val="(%1)"/>
      <w:numFmt w:val="lowerLetter"/>
      <w:start w:val="1"/>
    </w:lvl>
    <w:lvl w:ilvl="1">
      <w:lvlJc w:val="left"/>
      <w:lvlText w:val="%2."/>
      <w:numFmt w:val="decimal"/>
      <w:start w:val="3"/>
    </w:lvl>
  </w:abstractNum>
  <w:abstractNum w:abstractNumId="262">
    <w:nsid w:val="4CDCED4C"/>
    <w:multiLevelType w:val="hybridMultilevel"/>
    <w:lvl w:ilvl="0">
      <w:lvlJc w:val="left"/>
      <w:lvlText w:val="(%1)"/>
      <w:numFmt w:val="lowerLetter"/>
      <w:start w:val="1"/>
    </w:lvl>
  </w:abstractNum>
  <w:abstractNum w:abstractNumId="263">
    <w:nsid w:val="10A30D9C"/>
    <w:multiLevelType w:val="hybridMultilevel"/>
    <w:lvl w:ilvl="0">
      <w:lvlJc w:val="left"/>
      <w:lvlText w:val="%1."/>
      <w:numFmt w:val="decimal"/>
      <w:start w:val="7"/>
    </w:lvl>
  </w:abstractNum>
  <w:abstractNum w:abstractNumId="264">
    <w:nsid w:val="A66E486"/>
    <w:multiLevelType w:val="hybridMultilevel"/>
    <w:lvl w:ilvl="0">
      <w:lvlJc w:val="left"/>
      <w:lvlText w:val="%1."/>
      <w:numFmt w:val="decimal"/>
      <w:start w:val="8"/>
    </w:lvl>
  </w:abstractNum>
  <w:abstractNum w:abstractNumId="265">
    <w:nsid w:val="306235EA"/>
    <w:multiLevelType w:val="hybridMultilevel"/>
    <w:lvl w:ilvl="0">
      <w:lvlJc w:val="left"/>
      <w:lvlText w:val="%1."/>
      <w:numFmt w:val="decimal"/>
      <w:start w:val="14"/>
    </w:lvl>
  </w:abstractNum>
  <w:abstractNum w:abstractNumId="266">
    <w:nsid w:val="1187C70F"/>
    <w:multiLevelType w:val="hybridMultilevel"/>
    <w:lvl w:ilvl="0">
      <w:lvlJc w:val="left"/>
      <w:lvlText w:val="*"/>
      <w:numFmt w:val="bullet"/>
      <w:start w:val="1"/>
    </w:lvl>
  </w:abstractNum>
  <w:abstractNum w:abstractNumId="267">
    <w:nsid w:val="5476DE98"/>
    <w:multiLevelType w:val="hybridMultilevel"/>
    <w:lvl w:ilvl="0">
      <w:lvlJc w:val="left"/>
      <w:lvlText w:val="*"/>
      <w:numFmt w:val="bullet"/>
      <w:start w:val="1"/>
    </w:lvl>
  </w:abstractNum>
  <w:abstractNum w:abstractNumId="268">
    <w:nsid w:val="EA697F2"/>
    <w:multiLevelType w:val="hybridMultilevel"/>
    <w:lvl w:ilvl="0">
      <w:lvlJc w:val="left"/>
      <w:lvlText w:val="%1."/>
      <w:numFmt w:val="decimal"/>
      <w:start w:val="1"/>
    </w:lvl>
  </w:abstractNum>
  <w:abstractNum w:abstractNumId="269">
    <w:nsid w:val="70BA39EB"/>
    <w:multiLevelType w:val="hybridMultilevel"/>
    <w:lvl w:ilvl="0">
      <w:lvlJc w:val="left"/>
      <w:lvlText w:val="%1."/>
      <w:numFmt w:val="decimal"/>
      <w:start w:val="3"/>
    </w:lvl>
  </w:abstractNum>
  <w:abstractNum w:abstractNumId="270">
    <w:nsid w:val="4A8DB59C"/>
    <w:multiLevelType w:val="hybridMultilevel"/>
    <w:lvl w:ilvl="0">
      <w:lvlJc w:val="left"/>
      <w:lvlText w:val="(%1)"/>
      <w:numFmt w:val="lowerLetter"/>
      <w:start w:val="1"/>
    </w:lvl>
  </w:abstractNum>
  <w:abstractNum w:abstractNumId="271">
    <w:nsid w:val="1AFD9053"/>
    <w:multiLevelType w:val="hybridMultilevel"/>
    <w:lvl w:ilvl="0">
      <w:lvlJc w:val="left"/>
      <w:lvlText w:val="(%1)"/>
      <w:numFmt w:val="lowerLetter"/>
      <w:start w:val="3"/>
    </w:lvl>
  </w:abstractNum>
  <w:abstractNum w:abstractNumId="272">
    <w:nsid w:val="558BB10D"/>
    <w:multiLevelType w:val="hybridMultilevel"/>
    <w:lvl w:ilvl="0">
      <w:lvlJc w:val="left"/>
      <w:lvlText w:val="%1."/>
      <w:numFmt w:val="decimal"/>
      <w:start w:val="4"/>
    </w:lvl>
  </w:abstractNum>
  <w:abstractNum w:abstractNumId="273">
    <w:nsid w:val="43B27FA7"/>
    <w:multiLevelType w:val="hybridMultilevel"/>
    <w:lvl w:ilvl="0">
      <w:lvlJc w:val="left"/>
      <w:lvlText w:val="(%1)"/>
      <w:numFmt w:val="lowerLetter"/>
      <w:start w:val="1"/>
    </w:lvl>
  </w:abstractNum>
  <w:abstractNum w:abstractNumId="274">
    <w:nsid w:val="27FADEFA"/>
    <w:multiLevelType w:val="hybridMultilevel"/>
    <w:lvl w:ilvl="0">
      <w:lvlJc w:val="left"/>
      <w:lvlText w:val="(%1)"/>
      <w:numFmt w:val="lowerLetter"/>
      <w:start w:val="3"/>
    </w:lvl>
  </w:abstractNum>
  <w:abstractNum w:abstractNumId="275">
    <w:nsid w:val="78BB805A"/>
    <w:multiLevelType w:val="hybridMultilevel"/>
    <w:lvl w:ilvl="0">
      <w:lvlJc w:val="left"/>
      <w:lvlText w:val="%1."/>
      <w:numFmt w:val="decimal"/>
      <w:start w:val="1"/>
    </w:lvl>
  </w:abstractNum>
  <w:abstractNum w:abstractNumId="276">
    <w:nsid w:val="62548FD8"/>
    <w:multiLevelType w:val="hybridMultilevel"/>
    <w:lvl w:ilvl="0">
      <w:lvlJc w:val="left"/>
      <w:lvlText w:val="(%1)"/>
      <w:numFmt w:val="lowerLetter"/>
      <w:start w:val="1"/>
    </w:lvl>
    <w:lvl w:ilvl="1">
      <w:lvlJc w:val="left"/>
      <w:lvlText w:val="(%2)"/>
      <w:numFmt w:val="lowerRoman"/>
      <w:start w:val="1"/>
    </w:lvl>
  </w:abstractNum>
  <w:abstractNum w:abstractNumId="277">
    <w:nsid w:val="FA085B0"/>
    <w:multiLevelType w:val="hybridMultilevel"/>
    <w:lvl w:ilvl="0">
      <w:lvlJc w:val="left"/>
      <w:lvlText w:val="%1."/>
      <w:numFmt w:val="decimal"/>
      <w:start w:val="2"/>
    </w:lvl>
  </w:abstractNum>
  <w:abstractNum w:abstractNumId="278">
    <w:nsid w:val="4E5DCB5"/>
    <w:multiLevelType w:val="hybridMultilevel"/>
    <w:lvl w:ilvl="0">
      <w:lvlJc w:val="left"/>
      <w:lvlText w:val="(%1)"/>
      <w:numFmt w:val="lowerLetter"/>
      <w:start w:val="1"/>
    </w:lvl>
    <w:lvl w:ilvl="1">
      <w:lvlJc w:val="left"/>
      <w:lvlText w:val="(%2)"/>
      <w:numFmt w:val="lowerRoman"/>
      <w:start w:val="1"/>
    </w:lvl>
  </w:abstractNum>
  <w:abstractNum w:abstractNumId="279">
    <w:nsid w:val="41E96BDB"/>
    <w:multiLevelType w:val="hybridMultilevel"/>
    <w:lvl w:ilvl="0">
      <w:lvlJc w:val="left"/>
      <w:lvlText w:val="(%1)"/>
      <w:numFmt w:val="lowerLetter"/>
      <w:start w:val="2"/>
    </w:lvl>
  </w:abstractNum>
  <w:abstractNum w:abstractNumId="280">
    <w:nsid w:val="331C4250"/>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81">
    <w:nsid w:val="1B1493C2"/>
    <w:multiLevelType w:val="hybridMultilevel"/>
    <w:lvl w:ilvl="0">
      <w:lvlJc w:val="left"/>
      <w:lvlText w:val="%1"/>
      <w:numFmt w:val="decimal"/>
      <w:start w:val="1"/>
    </w:lvl>
    <w:lvl w:ilvl="1">
      <w:lvlJc w:val="left"/>
      <w:lvlText w:val="%2)"/>
      <w:numFmt w:val="lowerLetter"/>
      <w:start w:val="3"/>
    </w:lvl>
  </w:abstractNum>
  <w:abstractNum w:abstractNumId="282">
    <w:nsid w:val="39F06DFD"/>
    <w:multiLevelType w:val="hybridMultilevel"/>
    <w:lvl w:ilvl="0">
      <w:lvlJc w:val="left"/>
      <w:lvlText w:val="%1)"/>
      <w:numFmt w:val="decimal"/>
      <w:start w:val="2"/>
    </w:lvl>
    <w:lvl w:ilvl="1">
      <w:lvlJc w:val="left"/>
      <w:lvlText w:val="%2)"/>
      <w:numFmt w:val="lowerLetter"/>
      <w:start w:val="1"/>
    </w:lvl>
  </w:abstractNum>
  <w:abstractNum w:abstractNumId="283">
    <w:nsid w:val="14802F5D"/>
    <w:multiLevelType w:val="hybridMultilevel"/>
    <w:lvl w:ilvl="0">
      <w:lvlJc w:val="left"/>
      <w:lvlText w:val="%1."/>
      <w:numFmt w:val="decimal"/>
      <w:start w:val="1"/>
    </w:lvl>
  </w:abstractNum>
  <w:abstractNum w:abstractNumId="284">
    <w:nsid w:val="2774A209"/>
    <w:multiLevelType w:val="hybridMultilevel"/>
    <w:lvl w:ilvl="0">
      <w:lvlJc w:val="left"/>
      <w:lvlText w:val="%1"/>
      <w:numFmt w:val="lowerLetter"/>
      <w:start w:val="1"/>
    </w:lvl>
    <w:lvl w:ilvl="1">
      <w:lvlJc w:val="left"/>
      <w:lvlText w:val="(%2)"/>
      <w:numFmt w:val="lowerLetter"/>
      <w:start w:val="1"/>
    </w:lvl>
  </w:abstractNum>
  <w:abstractNum w:abstractNumId="285">
    <w:nsid w:val="3785655A"/>
    <w:multiLevelType w:val="hybridMultilevel"/>
    <w:lvl w:ilvl="0">
      <w:lvlJc w:val="left"/>
      <w:lvlText w:val="(%1)"/>
      <w:numFmt w:val="lowerLetter"/>
      <w:start w:val="9"/>
    </w:lvl>
    <w:lvl w:ilvl="1">
      <w:lvlJc w:val="left"/>
      <w:lvlText w:val="%2"/>
      <w:numFmt w:val="lowerLetter"/>
      <w:start w:val="1"/>
    </w:lvl>
  </w:abstractNum>
  <w:abstractNum w:abstractNumId="286">
    <w:nsid w:val="B2172A"/>
    <w:multiLevelType w:val="hybridMultilevel"/>
    <w:lvl w:ilvl="0">
      <w:lvlJc w:val="left"/>
      <w:lvlText w:val="(%1)"/>
      <w:numFmt w:val="lowerLetter"/>
      <w:start w:val="35"/>
    </w:lvl>
    <w:lvl w:ilvl="1">
      <w:lvlJc w:val="left"/>
      <w:lvlText w:val="%2"/>
      <w:numFmt w:val="lowerLetter"/>
      <w:start w:val="1"/>
    </w:lvl>
  </w:abstractNum>
  <w:abstractNum w:abstractNumId="287">
    <w:nsid w:val="532C34A5"/>
    <w:multiLevelType w:val="hybridMultilevel"/>
    <w:lvl w:ilvl="0">
      <w:lvlJc w:val="left"/>
      <w:lvlText w:val="(%1)"/>
      <w:numFmt w:val="lowerLetter"/>
      <w:start w:val="2"/>
    </w:lvl>
    <w:lvl w:ilvl="1">
      <w:lvlJc w:val="left"/>
      <w:lvlText w:val="(%2)"/>
      <w:numFmt w:val="lowerLetter"/>
      <w:start w:val="6"/>
    </w:lvl>
  </w:abstractNum>
  <w:abstractNum w:abstractNumId="288">
    <w:nsid w:val="102809E2"/>
    <w:multiLevelType w:val="hybridMultilevel"/>
    <w:lvl w:ilvl="0">
      <w:lvlJc w:val="left"/>
      <w:lvlText w:val="(%1)"/>
      <w:numFmt w:val="lowerLetter"/>
      <w:start w:val="9"/>
    </w:lvl>
  </w:abstractNum>
  <w:abstractNum w:abstractNumId="289">
    <w:nsid w:val="3B2125A3"/>
    <w:multiLevelType w:val="hybridMultilevel"/>
    <w:lvl w:ilvl="0">
      <w:lvlJc w:val="left"/>
      <w:lvlText w:val="%1."/>
      <w:numFmt w:val="decimal"/>
      <w:start w:val="3"/>
    </w:lvl>
  </w:abstractNum>
  <w:abstractNum w:abstractNumId="290">
    <w:nsid w:val="AC68FFB"/>
    <w:multiLevelType w:val="hybridMultilevel"/>
    <w:lvl w:ilvl="0">
      <w:lvlJc w:val="left"/>
      <w:lvlText w:val="%1"/>
      <w:numFmt w:val="lowerLetter"/>
      <w:start w:val="1"/>
    </w:lvl>
    <w:lvl w:ilvl="1">
      <w:lvlJc w:val="left"/>
      <w:lvlText w:val="(%2)"/>
      <w:numFmt w:val="lowerLetter"/>
      <w:start w:val="1"/>
    </w:lvl>
  </w:abstractNum>
  <w:abstractNum w:abstractNumId="291">
    <w:nsid w:val="63DF3FB7"/>
    <w:multiLevelType w:val="hybridMultilevel"/>
    <w:lvl w:ilvl="0">
      <w:lvlJc w:val="left"/>
      <w:lvlText w:val="(%1)"/>
      <w:numFmt w:val="lowerLetter"/>
      <w:start w:val="9"/>
    </w:lvl>
    <w:lvl w:ilvl="1">
      <w:lvlJc w:val="left"/>
      <w:lvlText w:val="%2"/>
      <w:numFmt w:val="lowerLetter"/>
      <w:start w:val="1"/>
    </w:lvl>
  </w:abstractNum>
  <w:abstractNum w:abstractNumId="292">
    <w:nsid w:val="64996E13"/>
    <w:multiLevelType w:val="hybridMultilevel"/>
    <w:lvl w:ilvl="0">
      <w:lvlJc w:val="left"/>
      <w:lvlText w:val="(%1)"/>
      <w:numFmt w:val="upperLetter"/>
      <w:start w:val="2"/>
    </w:lvl>
  </w:abstractNum>
  <w:abstractNum w:abstractNumId="293">
    <w:nsid w:val="57A37D47"/>
    <w:multiLevelType w:val="hybridMultilevel"/>
    <w:lvl w:ilvl="0">
      <w:lvlJc w:val="left"/>
      <w:lvlText w:val="(%1)"/>
      <w:numFmt w:val="lowerLetter"/>
      <w:start w:val="35"/>
    </w:lvl>
    <w:lvl w:ilvl="1">
      <w:lvlJc w:val="left"/>
      <w:lvlText w:val="%2"/>
      <w:numFmt w:val="lowerLetter"/>
      <w:start w:val="1"/>
    </w:lvl>
  </w:abstractNum>
  <w:abstractNum w:abstractNumId="294">
    <w:nsid w:val="74824D54"/>
    <w:multiLevelType w:val="hybridMultilevel"/>
    <w:lvl w:ilvl="0">
      <w:lvlJc w:val="left"/>
      <w:lvlText w:val="(%1)"/>
      <w:numFmt w:val="lowerLetter"/>
      <w:start w:val="2"/>
    </w:lvl>
    <w:lvl w:ilvl="1">
      <w:lvlJc w:val="left"/>
      <w:lvlText w:val="%2"/>
      <w:numFmt w:val="lowerLetter"/>
      <w:start w:val="1"/>
    </w:lvl>
  </w:abstractNum>
  <w:abstractNum w:abstractNumId="295">
    <w:nsid w:val="6F00529A"/>
    <w:multiLevelType w:val="hybridMultilevel"/>
    <w:lvl w:ilvl="0">
      <w:lvlJc w:val="left"/>
      <w:lvlText w:val="%1."/>
      <w:numFmt w:val="decimal"/>
      <w:start w:val="5"/>
    </w:lvl>
  </w:abstractNum>
  <w:abstractNum w:abstractNumId="296">
    <w:nsid w:val="805B331"/>
    <w:multiLevelType w:val="hybridMultilevel"/>
    <w:lvl w:ilvl="0">
      <w:lvlJc w:val="left"/>
      <w:lvlText w:val="(%1)"/>
      <w:numFmt w:val="decimal"/>
      <w:start w:val="1"/>
    </w:lvl>
  </w:abstractNum>
  <w:abstractNum w:abstractNumId="297">
    <w:nsid w:val="60A1463"/>
    <w:multiLevelType w:val="hybridMultilevel"/>
    <w:lvl w:ilvl="0">
      <w:lvlJc w:val="left"/>
      <w:lvlText w:val="(%1)"/>
      <w:numFmt w:val="upperLetter"/>
      <w:start w:val="2"/>
    </w:lvl>
  </w:abstractNum>
  <w:abstractNum w:abstractNumId="298">
    <w:nsid w:val="43773132"/>
    <w:multiLevelType w:val="hybridMultilevel"/>
    <w:lvl w:ilvl="0">
      <w:lvlJc w:val="left"/>
      <w:lvlText w:val="%1"/>
      <w:numFmt w:val="lowerLetter"/>
      <w:start w:val="1"/>
    </w:lvl>
    <w:lvl w:ilvl="1">
      <w:lvlJc w:val="left"/>
      <w:lvlText w:val="(%2)"/>
      <w:numFmt w:val="upperLetter"/>
      <w:start w:val="5"/>
    </w:lvl>
  </w:abstractNum>
  <w:abstractNum w:abstractNumId="299">
    <w:nsid w:val="16AC4B23"/>
    <w:multiLevelType w:val="hybridMultilevel"/>
    <w:lvl w:ilvl="0">
      <w:lvlJc w:val="left"/>
      <w:lvlText w:val="(%1)"/>
      <w:numFmt w:val="lowerLetter"/>
      <w:start w:val="1"/>
    </w:lvl>
    <w:lvl w:ilvl="1">
      <w:lvlJc w:val="left"/>
      <w:lvlText w:val="%2"/>
      <w:numFmt w:val="upperLetter"/>
      <w:start w:val="1"/>
    </w:lvl>
  </w:abstractNum>
  <w:abstractNum w:abstractNumId="300">
    <w:nsid w:val="76C44E4E"/>
    <w:multiLevelType w:val="hybridMultilevel"/>
    <w:lvl w:ilvl="0">
      <w:lvlJc w:val="left"/>
      <w:lvlText w:val="%1."/>
      <w:numFmt w:val="decimal"/>
      <w:start w:val="6"/>
    </w:lvl>
  </w:abstractNum>
  <w:abstractNum w:abstractNumId="301">
    <w:nsid w:val="E04E6CE"/>
    <w:multiLevelType w:val="hybridMultilevel"/>
    <w:lvl w:ilvl="0">
      <w:lvlJc w:val="left"/>
      <w:lvlText w:val="%1."/>
      <w:numFmt w:val="decimal"/>
      <w:start w:val="1"/>
    </w:lvl>
  </w:abstractNum>
  <w:abstractNum w:abstractNumId="302">
    <w:nsid w:val="31A9DB76"/>
    <w:multiLevelType w:val="hybridMultilevel"/>
    <w:lvl w:ilvl="0">
      <w:lvlJc w:val="left"/>
      <w:lvlText w:val="(%1)"/>
      <w:numFmt w:val="lowerLetter"/>
      <w:start w:val="1"/>
    </w:lvl>
  </w:abstractNum>
  <w:abstractNum w:abstractNumId="303">
    <w:nsid w:val="4C4FFF5B"/>
    <w:multiLevelType w:val="hybridMultilevel"/>
    <w:lvl w:ilvl="0">
      <w:lvlJc w:val="left"/>
      <w:lvlText w:val="%1"/>
      <w:numFmt w:val="decimal"/>
      <w:start w:val="1"/>
    </w:lvl>
    <w:lvl w:ilvl="1">
      <w:lvlJc w:val="left"/>
      <w:lvlText w:val="(%2)"/>
      <w:numFmt w:val="lowerLetter"/>
      <w:start w:val="7"/>
    </w:lvl>
  </w:abstractNum>
  <w:abstractNum w:abstractNumId="304">
    <w:nsid w:val="51B76675"/>
    <w:multiLevelType w:val="hybridMultilevel"/>
    <w:lvl w:ilvl="0">
      <w:lvlJc w:val="left"/>
      <w:lvlText w:val="%1."/>
      <w:numFmt w:val="decimal"/>
      <w:start w:val="2"/>
    </w:lvl>
    <w:lvl w:ilvl="1">
      <w:lvlJc w:val="left"/>
      <w:lvlText w:val="(%2)"/>
      <w:numFmt w:val="lowerLetter"/>
      <w:start w:val="1"/>
    </w:lvl>
  </w:abstractNum>
  <w:abstractNum w:abstractNumId="305">
    <w:nsid w:val="59A4BA71"/>
    <w:multiLevelType w:val="hybridMultilevel"/>
    <w:lvl w:ilvl="0">
      <w:lvlJc w:val="left"/>
      <w:lvlText w:val="(%1)"/>
      <w:numFmt w:val="lowerLetter"/>
      <w:start w:val="2"/>
    </w:lvl>
  </w:abstractNum>
  <w:abstractNum w:abstractNumId="306">
    <w:nsid w:val="450B7FB6"/>
    <w:multiLevelType w:val="hybridMultilevel"/>
    <w:lvl w:ilvl="0">
      <w:lvlJc w:val="left"/>
      <w:lvlText w:val="%1"/>
      <w:numFmt w:val="decimal"/>
      <w:start w:val="1"/>
    </w:lvl>
    <w:lvl w:ilvl="1">
      <w:lvlJc w:val="left"/>
      <w:lvlText w:val="(%2)"/>
      <w:numFmt w:val="lowerLetter"/>
      <w:start w:val="11"/>
    </w:lvl>
  </w:abstractNum>
  <w:abstractNum w:abstractNumId="307">
    <w:nsid w:val="340BF64D"/>
    <w:multiLevelType w:val="hybridMultilevel"/>
    <w:lvl w:ilvl="0">
      <w:lvlJc w:val="left"/>
      <w:lvlText w:val="%1."/>
      <w:numFmt w:val="decimal"/>
      <w:start w:val="3"/>
    </w:lvl>
    <w:lvl w:ilvl="1">
      <w:lvlJc w:val="left"/>
      <w:lvlText w:val="%2"/>
      <w:numFmt w:val="lowerLetter"/>
      <w:start w:val="1"/>
    </w:lvl>
  </w:abstractNum>
  <w:abstractNum w:abstractNumId="308">
    <w:nsid w:val="69454021"/>
    <w:multiLevelType w:val="hybridMultilevel"/>
    <w:lvl w:ilvl="0">
      <w:lvlJc w:val="left"/>
      <w:lvlText w:val="(%1)"/>
      <w:numFmt w:val="lowerLetter"/>
      <w:start w:val="1"/>
    </w:lvl>
  </w:abstractNum>
  <w:abstractNum w:abstractNumId="309">
    <w:nsid w:val="49F15C6B"/>
    <w:multiLevelType w:val="hybridMultilevel"/>
    <w:lvl w:ilvl="0">
      <w:lvlJc w:val="left"/>
      <w:lvlText w:val="(%1)"/>
      <w:numFmt w:val="lowerRoman"/>
      <w:start w:val="4"/>
    </w:lvl>
  </w:abstractNum>
  <w:abstractNum w:abstractNumId="310">
    <w:nsid w:val="75F56228"/>
    <w:multiLevelType w:val="hybridMultilevel"/>
    <w:lvl w:ilvl="0">
      <w:lvlJc w:val="left"/>
      <w:lvlText w:val="%1"/>
      <w:numFmt w:val="upperLetter"/>
      <w:start w:val="61"/>
    </w:lvl>
  </w:abstractNum>
  <w:abstractNum w:abstractNumId="311">
    <w:nsid w:val="1C618271"/>
    <w:multiLevelType w:val="hybridMultilevel"/>
    <w:lvl w:ilvl="0">
      <w:lvlJc w:val="left"/>
      <w:lvlText w:val="(%1)"/>
      <w:numFmt w:val="decimal"/>
      <w:start w:val="1"/>
    </w:lvl>
  </w:abstractNum>
  <w:abstractNum w:abstractNumId="312">
    <w:nsid w:val="6505F02E"/>
    <w:multiLevelType w:val="hybridMultilevel"/>
    <w:lvl w:ilvl="0">
      <w:lvlJc w:val="left"/>
      <w:lvlText w:val="(%1)"/>
      <w:numFmt w:val="lowerLetter"/>
      <w:start w:val="3"/>
    </w:lvl>
  </w:abstractNum>
  <w:abstractNum w:abstractNumId="313">
    <w:nsid w:val="2FE5D025"/>
    <w:multiLevelType w:val="hybridMultilevel"/>
    <w:lvl w:ilvl="0">
      <w:lvlJc w:val="left"/>
      <w:lvlText w:val="(%1)"/>
      <w:numFmt w:val="decimal"/>
      <w:start w:val="1"/>
    </w:lvl>
  </w:abstractNum>
  <w:abstractNum w:abstractNumId="314">
    <w:nsid w:val="30E1B1CF"/>
    <w:multiLevelType w:val="hybridMultilevel"/>
    <w:lvl w:ilvl="0">
      <w:lvlJc w:val="left"/>
      <w:lvlText w:val="(%1)"/>
      <w:numFmt w:val="decimal"/>
      <w:start w:val="1"/>
    </w:lvl>
  </w:abstractNum>
  <w:abstractNum w:abstractNumId="315">
    <w:nsid w:val="C7A9237"/>
    <w:multiLevelType w:val="hybridMultilevel"/>
    <w:lvl w:ilvl="0">
      <w:lvlJc w:val="left"/>
      <w:lvlText w:val="(%1)"/>
      <w:numFmt w:val="lowerLetter"/>
      <w:start w:val="1"/>
    </w:lvl>
  </w:abstractNum>
  <w:abstractNum w:abstractNumId="316">
    <w:nsid w:val="676B3580"/>
    <w:multiLevelType w:val="hybridMultilevel"/>
    <w:lvl w:ilvl="0">
      <w:lvlJc w:val="left"/>
      <w:lvlText w:val="(%1)"/>
      <w:numFmt w:val="lowerLetter"/>
      <w:start w:val="13"/>
    </w:lvl>
  </w:abstractNum>
  <w:abstractNum w:abstractNumId="317">
    <w:nsid w:val="3193C8F9"/>
    <w:multiLevelType w:val="hybridMultilevel"/>
    <w:lvl w:ilvl="0">
      <w:lvlJc w:val="left"/>
      <w:lvlText w:val="(%1)"/>
      <w:numFmt w:val="decimal"/>
      <w:start w:val="1"/>
    </w:lvl>
  </w:abstractNum>
  <w:abstractNum w:abstractNumId="318">
    <w:nsid w:val="5FA6C6DC"/>
    <w:multiLevelType w:val="hybridMultilevel"/>
    <w:lvl w:ilvl="0">
      <w:lvlJc w:val="left"/>
      <w:lvlText w:val="(%1)"/>
      <w:numFmt w:val="decimal"/>
      <w:start w:val="1"/>
    </w:lvl>
  </w:abstractNum>
  <w:abstractNum w:abstractNumId="319">
    <w:nsid w:val="77933F62"/>
    <w:multiLevelType w:val="hybridMultilevel"/>
    <w:lvl w:ilvl="0">
      <w:lvlJc w:val="left"/>
      <w:lvlText w:val="%1"/>
      <w:numFmt w:val="decimal"/>
      <w:start w:val="1"/>
    </w:lvl>
    <w:lvl w:ilvl="1">
      <w:lvlJc w:val="left"/>
      <w:lvlText w:val="(%2)"/>
      <w:numFmt w:val="lowerLetter"/>
      <w:start w:val="2"/>
    </w:lvl>
  </w:abstractNum>
  <w:abstractNum w:abstractNumId="320">
    <w:nsid w:val="6CB4EE9C"/>
    <w:multiLevelType w:val="hybridMultilevel"/>
    <w:lvl w:ilvl="0">
      <w:lvlJc w:val="left"/>
      <w:lvlText w:val="(%1)"/>
      <w:numFmt w:val="decimal"/>
      <w:start w:val="3"/>
    </w:lvl>
    <w:lvl w:ilvl="1">
      <w:lvlJc w:val="left"/>
      <w:lvlText w:val="%2"/>
      <w:numFmt w:val="lowerLetter"/>
      <w:start w:val="1"/>
    </w:lvl>
  </w:abstractNum>
  <w:abstractNum w:abstractNumId="321">
    <w:nsid w:val="6A6D56D7"/>
    <w:multiLevelType w:val="hybridMultilevel"/>
    <w:lvl w:ilvl="0">
      <w:lvlJc w:val="left"/>
      <w:lvlText w:val="(%1)"/>
      <w:numFmt w:val="decimal"/>
      <w:start w:val="2"/>
    </w:lvl>
  </w:abstractNum>
  <w:abstractNum w:abstractNumId="322">
    <w:nsid w:val="5B727F19"/>
    <w:multiLevelType w:val="hybridMultilevel"/>
    <w:lvl w:ilvl="0">
      <w:lvlJc w:val="left"/>
      <w:lvlText w:val="%1"/>
      <w:numFmt w:val="decimal"/>
      <w:start w:val="1"/>
    </w:lvl>
    <w:lvl w:ilvl="1">
      <w:lvlJc w:val="left"/>
      <w:lvlText w:val="(%2)"/>
      <w:numFmt w:val="decimal"/>
      <w:start w:val="1"/>
    </w:lvl>
  </w:abstractNum>
  <w:abstractNum w:abstractNumId="323">
    <w:nsid w:val="514E5CB0"/>
    <w:multiLevelType w:val="hybridMultilevel"/>
    <w:lvl w:ilvl="0">
      <w:lvlJc w:val="left"/>
      <w:lvlText w:val="(%1)"/>
      <w:numFmt w:val="decimal"/>
      <w:start w:val="1"/>
    </w:lvl>
    <w:lvl w:ilvl="1">
      <w:lvlJc w:val="left"/>
      <w:lvlText w:val="%2"/>
      <w:numFmt w:val="decimal"/>
      <w:start w:val="1"/>
    </w:lvl>
  </w:abstractNum>
  <w:abstractNum w:abstractNumId="324">
    <w:nsid w:val="4210D41E"/>
    <w:multiLevelType w:val="hybridMultilevel"/>
    <w:lvl w:ilvl="0">
      <w:lvlJc w:val="left"/>
      <w:lvlText w:val="(%1)"/>
      <w:numFmt w:val="decimal"/>
      <w:start w:val="1"/>
    </w:lvl>
  </w:abstractNum>
  <w:abstractNum w:abstractNumId="325">
    <w:nsid w:val="4FF4CC6D"/>
    <w:multiLevelType w:val="hybridMultilevel"/>
    <w:lvl w:ilvl="0">
      <w:lvlJc w:val="left"/>
      <w:lvlText w:val="(%1)"/>
      <w:numFmt w:val="decimal"/>
      <w:start w:val="1"/>
    </w:lvl>
  </w:abstractNum>
  <w:abstractNum w:abstractNumId="326">
    <w:nsid w:val="404EAF4A"/>
    <w:multiLevelType w:val="hybridMultilevel"/>
    <w:lvl w:ilvl="0">
      <w:lvlJc w:val="left"/>
      <w:lvlText w:val="(%1)"/>
      <w:numFmt w:val="decimal"/>
      <w:start w:val="6"/>
    </w:lvl>
    <w:lvl w:ilvl="1">
      <w:lvlJc w:val="left"/>
      <w:lvlText w:val="(%2)"/>
      <w:numFmt w:val="lowerLetter"/>
      <w:start w:val="8"/>
    </w:lvl>
    <w:lvl w:ilvl="2">
      <w:lvlJc w:val="left"/>
      <w:lvlText w:val="(%3)"/>
      <w:numFmt w:val="lowerLetter"/>
      <w:start w:val="1"/>
    </w:lvl>
  </w:abstractNum>
  <w:abstractNum w:abstractNumId="327">
    <w:nsid w:val="4A16874F"/>
    <w:multiLevelType w:val="hybridMultilevel"/>
    <w:lvl w:ilvl="0">
      <w:lvlJc w:val="left"/>
      <w:lvlText w:val="(%1)"/>
      <w:numFmt w:val="decimal"/>
      <w:start w:val="1"/>
    </w:lvl>
  </w:abstractNum>
  <w:abstractNum w:abstractNumId="328">
    <w:nsid w:val="55FEE0D1"/>
    <w:multiLevelType w:val="hybridMultilevel"/>
    <w:lvl w:ilvl="0">
      <w:lvlJc w:val="left"/>
      <w:lvlText w:val="(%1)"/>
      <w:numFmt w:val="decimal"/>
      <w:start w:val="2"/>
    </w:lvl>
    <w:lvl w:ilvl="1">
      <w:lvlJc w:val="left"/>
      <w:lvlText w:val="(%2)"/>
      <w:numFmt w:val="lowerLetter"/>
      <w:start w:val="1"/>
    </w:lvl>
  </w:abstractNum>
  <w:abstractNum w:abstractNumId="329">
    <w:nsid w:val="3C5E07C"/>
    <w:multiLevelType w:val="hybridMultilevel"/>
    <w:lvl w:ilvl="0">
      <w:lvlJc w:val="left"/>
      <w:lvlText w:val="(%1)"/>
      <w:numFmt w:val="decimal"/>
      <w:start w:val="1"/>
    </w:lvl>
    <w:lvl w:ilvl="1">
      <w:lvlJc w:val="left"/>
      <w:lvlText w:val="(%2)"/>
      <w:numFmt w:val="lowerLetter"/>
      <w:start w:val="1"/>
    </w:lvl>
  </w:abstractNum>
  <w:abstractNum w:abstractNumId="330">
    <w:nsid w:val="60C2D273"/>
    <w:multiLevelType w:val="hybridMultilevel"/>
    <w:lvl w:ilvl="0">
      <w:lvlJc w:val="left"/>
      <w:lvlText w:val="%1"/>
      <w:numFmt w:val="decimal"/>
      <w:start w:val="1"/>
    </w:lvl>
    <w:lvl w:ilvl="1">
      <w:lvlJc w:val="left"/>
      <w:lvlText w:val="(%2)"/>
      <w:numFmt w:val="lowerLetter"/>
      <w:start w:val="4"/>
    </w:lvl>
  </w:abstractNum>
  <w:abstractNum w:abstractNumId="331">
    <w:nsid w:val="4CC32F1F"/>
    <w:multiLevelType w:val="hybridMultilevel"/>
    <w:lvl w:ilvl="0">
      <w:lvlJc w:val="left"/>
      <w:lvlText w:val="(%1)"/>
      <w:numFmt w:val="decimal"/>
      <w:start w:val="3"/>
    </w:lvl>
    <w:lvl w:ilvl="1">
      <w:lvlJc w:val="left"/>
      <w:lvlText w:val="%2"/>
      <w:numFmt w:val="lowerLetter"/>
      <w:start w:val="1"/>
    </w:lvl>
  </w:abstractNum>
  <w:abstractNum w:abstractNumId="332">
    <w:nsid w:val="11CAC74A"/>
    <w:multiLevelType w:val="hybridMultilevel"/>
    <w:lvl w:ilvl="0">
      <w:lvlJc w:val="left"/>
      <w:lvlText w:val="%1"/>
      <w:numFmt w:val="decimal"/>
      <w:start w:val="1"/>
    </w:lvl>
    <w:lvl w:ilvl="1">
      <w:lvlJc w:val="left"/>
      <w:lvlText w:val="(%2)"/>
      <w:numFmt w:val="lowerLetter"/>
      <w:start w:val="12"/>
    </w:lvl>
  </w:abstractNum>
  <w:abstractNum w:abstractNumId="333">
    <w:nsid w:val="126CADE9"/>
    <w:multiLevelType w:val="hybridMultilevel"/>
    <w:lvl w:ilvl="0">
      <w:lvlJc w:val="left"/>
      <w:lvlText w:val="(%1)"/>
      <w:numFmt w:val="decimal"/>
      <w:start w:val="2"/>
    </w:lvl>
    <w:lvl w:ilvl="1">
      <w:lvlJc w:val="left"/>
      <w:lvlText w:val="(%2)"/>
      <w:numFmt w:val="lowerLetter"/>
      <w:start w:val="1"/>
    </w:lvl>
  </w:abstractNum>
  <w:abstractNum w:abstractNumId="334">
    <w:nsid w:val="19132E7B"/>
    <w:multiLevelType w:val="hybridMultilevel"/>
    <w:lvl w:ilvl="0">
      <w:lvlJc w:val="left"/>
      <w:lvlText w:val="(%1)"/>
      <w:numFmt w:val="decimal"/>
      <w:start w:val="1"/>
    </w:lvl>
    <w:lvl w:ilvl="1">
      <w:lvlJc w:val="left"/>
      <w:lvlText w:val="(%2)"/>
      <w:numFmt w:val="decimal"/>
      <w:start w:val="2"/>
    </w:lvl>
  </w:abstractNum>
  <w:abstractNum w:abstractNumId="335">
    <w:nsid w:val="63822DC0"/>
    <w:multiLevelType w:val="hybridMultilevel"/>
    <w:lvl w:ilvl="0">
      <w:lvlJc w:val="left"/>
      <w:lvlText w:val="(%1)"/>
      <w:numFmt w:val="decimal"/>
      <w:start w:val="3"/>
    </w:lvl>
  </w:abstractNum>
  <w:abstractNum w:abstractNumId="336">
    <w:nsid w:val="6C11685A"/>
    <w:multiLevelType w:val="hybridMultilevel"/>
    <w:lvl w:ilvl="0">
      <w:lvlJc w:val="left"/>
      <w:lvlText w:val="(%1)"/>
      <w:numFmt w:val="decimal"/>
      <w:start w:val="1"/>
    </w:lvl>
  </w:abstractNum>
  <w:abstractNum w:abstractNumId="337">
    <w:nsid w:val="5E1EAE31"/>
    <w:multiLevelType w:val="hybridMultilevel"/>
    <w:lvl w:ilvl="0">
      <w:lvlJc w:val="left"/>
      <w:lvlText w:val="(%1)"/>
      <w:numFmt w:val="decimal"/>
      <w:start w:val="1"/>
    </w:lvl>
  </w:abstractNum>
  <w:abstractNum w:abstractNumId="338">
    <w:nsid w:val="178E240D"/>
    <w:multiLevelType w:val="hybridMultilevel"/>
    <w:lvl w:ilvl="0">
      <w:lvlJc w:val="left"/>
      <w:lvlText w:val="(%1)"/>
      <w:numFmt w:val="lowerLetter"/>
      <w:start w:val="2"/>
    </w:lvl>
  </w:abstractNum>
  <w:abstractNum w:abstractNumId="339">
    <w:nsid w:val="5556A87B"/>
    <w:multiLevelType w:val="hybridMultilevel"/>
    <w:lvl w:ilvl="0">
      <w:lvlJc w:val="left"/>
      <w:lvlText w:val="(%1)"/>
      <w:numFmt w:val="decimal"/>
      <w:start w:val="1"/>
    </w:lvl>
  </w:abstractNum>
  <w:abstractNum w:abstractNumId="340">
    <w:nsid w:val="28100A9C"/>
    <w:multiLevelType w:val="hybridMultilevel"/>
    <w:lvl w:ilvl="0">
      <w:lvlJc w:val="left"/>
      <w:lvlText w:val="(%1)"/>
      <w:numFmt w:val="decimal"/>
      <w:start w:val="1"/>
    </w:lvl>
    <w:lvl w:ilvl="1">
      <w:lvlJc w:val="left"/>
      <w:lvlText w:val="(%2)"/>
      <w:numFmt w:val="lowerLetter"/>
      <w:start w:val="1"/>
    </w:lvl>
  </w:abstractNum>
  <w:abstractNum w:abstractNumId="341">
    <w:nsid w:val="D838636"/>
    <w:multiLevelType w:val="hybridMultilevel"/>
    <w:lvl w:ilvl="0">
      <w:lvlJc w:val="left"/>
      <w:lvlText w:val="(%1)"/>
      <w:numFmt w:val="decimal"/>
      <w:start w:val="2"/>
    </w:lvl>
  </w:abstractNum>
  <w:abstractNum w:abstractNumId="342">
    <w:nsid w:val="71B82AED"/>
    <w:multiLevelType w:val="hybridMultilevel"/>
    <w:lvl w:ilvl="0">
      <w:lvlJc w:val="left"/>
      <w:lvlText w:val="(%1)"/>
      <w:numFmt w:val="decimal"/>
      <w:start w:val="1"/>
    </w:lvl>
  </w:abstractNum>
  <w:abstractNum w:abstractNumId="343">
    <w:nsid w:val="D15FACA"/>
    <w:multiLevelType w:val="hybridMultilevel"/>
    <w:lvl w:ilvl="0">
      <w:lvlJc w:val="left"/>
      <w:lvlText w:val="(%1)"/>
      <w:numFmt w:val="decimal"/>
      <w:start w:val="1"/>
    </w:lvl>
    <w:lvl w:ilvl="1">
      <w:lvlJc w:val="left"/>
      <w:lvlText w:val="(%2)"/>
      <w:numFmt w:val="lowerLetter"/>
      <w:start w:val="1"/>
    </w:lvl>
  </w:abstractNum>
  <w:abstractNum w:abstractNumId="344">
    <w:nsid w:val="3D69565B"/>
    <w:multiLevelType w:val="hybridMultilevel"/>
    <w:lvl w:ilvl="0">
      <w:lvlJc w:val="left"/>
      <w:lvlText w:val="(%1)"/>
      <w:numFmt w:val="lowerLetter"/>
      <w:start w:val="1"/>
    </w:lvl>
  </w:abstractNum>
  <w:abstractNum w:abstractNumId="345">
    <w:nsid w:val="2299DCBC"/>
    <w:multiLevelType w:val="hybridMultilevel"/>
    <w:lvl w:ilvl="0">
      <w:lvlJc w:val="left"/>
      <w:lvlText w:val="(%1)"/>
      <w:numFmt w:val="decimal"/>
      <w:start w:val="1"/>
    </w:lvl>
    <w:lvl w:ilvl="1">
      <w:lvlJc w:val="left"/>
      <w:lvlText w:val="(%2)"/>
      <w:numFmt w:val="lowerLetter"/>
      <w:start w:val="1"/>
    </w:lvl>
  </w:abstractNum>
  <w:abstractNum w:abstractNumId="346">
    <w:nsid w:val="19908D02"/>
    <w:multiLevelType w:val="hybridMultilevel"/>
    <w:lvl w:ilvl="0">
      <w:lvlJc w:val="left"/>
      <w:lvlText w:val="(%1)"/>
      <w:numFmt w:val="decimal"/>
      <w:start w:val="4"/>
    </w:lvl>
    <w:lvl w:ilvl="1">
      <w:lvlJc w:val="left"/>
      <w:lvlText w:val="(%2)"/>
      <w:numFmt w:val="lowerLetter"/>
      <w:start w:val="1"/>
    </w:lvl>
  </w:abstractNum>
  <w:abstractNum w:abstractNumId="347">
    <w:nsid w:val="24D48BDB"/>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348">
    <w:nsid w:val="542DA5B5"/>
    <w:multiLevelType w:val="hybridMultilevel"/>
    <w:lvl w:ilvl="0">
      <w:lvlJc w:val="left"/>
      <w:lvlText w:val="(%1)"/>
      <w:numFmt w:val="decimal"/>
      <w:start w:val="13"/>
    </w:lvl>
    <w:lvl w:ilvl="1">
      <w:lvlJc w:val="left"/>
      <w:lvlText w:val="(%2)"/>
      <w:numFmt w:val="decimal"/>
      <w:start w:val="14"/>
    </w:lvl>
    <w:lvl w:ilvl="2">
      <w:lvlJc w:val="left"/>
      <w:lvlText w:val="(%3)"/>
      <w:numFmt w:val="lowerLetter"/>
      <w:start w:val="1"/>
    </w:lvl>
  </w:abstractNum>
  <w:abstractNum w:abstractNumId="349">
    <w:nsid w:val="793753DE"/>
    <w:multiLevelType w:val="hybridMultilevel"/>
    <w:lvl w:ilvl="0">
      <w:lvlJc w:val="left"/>
      <w:lvlText w:val="(%1)"/>
      <w:numFmt w:val="decimal"/>
      <w:start w:val="1"/>
    </w:lvl>
  </w:abstractNum>
  <w:abstractNum w:abstractNumId="350">
    <w:nsid w:val="1C67CB3D"/>
    <w:multiLevelType w:val="hybridMultilevel"/>
    <w:lvl w:ilvl="0">
      <w:lvlJc w:val="left"/>
      <w:lvlText w:val="%1"/>
      <w:numFmt w:val="lowerLetter"/>
      <w:start w:val="1"/>
    </w:lvl>
    <w:lvl w:ilvl="1">
      <w:lvlJc w:val="left"/>
      <w:lvlText w:val="(%2)"/>
      <w:numFmt w:val="decimal"/>
      <w:start w:val="11"/>
    </w:lvl>
  </w:abstractNum>
  <w:abstractNum w:abstractNumId="351">
    <w:nsid w:val="40E29452"/>
    <w:multiLevelType w:val="hybridMultilevel"/>
    <w:lvl w:ilvl="0">
      <w:lvlJc w:val="left"/>
      <w:lvlText w:val="(%1)"/>
      <w:numFmt w:val="lowerLetter"/>
      <w:start w:val="2"/>
    </w:lvl>
    <w:lvl w:ilvl="1">
      <w:lvlJc w:val="left"/>
      <w:lvlText w:val="%2"/>
      <w:numFmt w:val="decimal"/>
      <w:start w:val="1"/>
    </w:lvl>
  </w:abstractNum>
  <w:abstractNum w:abstractNumId="352">
    <w:nsid w:val="63A4AAB6"/>
    <w:multiLevelType w:val="hybridMultilevel"/>
    <w:lvl w:ilvl="0">
      <w:lvlJc w:val="left"/>
      <w:lvlText w:val="%1"/>
      <w:numFmt w:val="lowerRoman"/>
      <w:start w:val="1"/>
    </w:lvl>
    <w:lvl w:ilvl="1">
      <w:lvlJc w:val="left"/>
      <w:lvlText w:val="(%2)"/>
      <w:numFmt w:val="decimal"/>
      <w:start w:val="23"/>
    </w:lvl>
  </w:abstractNum>
  <w:abstractNum w:abstractNumId="353">
    <w:nsid w:val="77DA4A57"/>
    <w:multiLevelType w:val="hybridMultilevel"/>
    <w:lvl w:ilvl="0">
      <w:lvlJc w:val="left"/>
      <w:lvlText w:val="(%1)"/>
      <w:numFmt w:val="lowerRoman"/>
      <w:start w:val="2"/>
    </w:lvl>
    <w:lvl w:ilvl="1">
      <w:lvlJc w:val="left"/>
      <w:lvlText w:val="(%2)"/>
      <w:numFmt w:val="decimal"/>
      <w:start w:val="28"/>
    </w:lvl>
  </w:abstractNum>
  <w:abstractNum w:abstractNumId="354">
    <w:nsid w:val="1230F102"/>
    <w:multiLevelType w:val="hybridMultilevel"/>
    <w:lvl w:ilvl="0">
      <w:lvlJc w:val="left"/>
      <w:lvlText w:val="(%1)"/>
      <w:numFmt w:val="decimal"/>
      <w:start w:val="33"/>
    </w:lvl>
  </w:abstractNum>
  <w:abstractNum w:abstractNumId="355">
    <w:nsid w:val="25B57ED4"/>
    <w:multiLevelType w:val="hybridMultilevel"/>
    <w:lvl w:ilvl="0">
      <w:lvlJc w:val="left"/>
      <w:lvlText w:val="(%1)"/>
      <w:numFmt w:val="decimal"/>
      <w:start w:val="6"/>
    </w:lvl>
  </w:abstractNum>
  <w:abstractNum w:abstractNumId="356">
    <w:nsid w:val="47CF16C4"/>
    <w:multiLevelType w:val="hybridMultilevel"/>
    <w:lvl w:ilvl="0">
      <w:lvlJc w:val="left"/>
      <w:lvlText w:val="(%1)"/>
      <w:numFmt w:val="decimal"/>
      <w:start w:val="1"/>
    </w:lvl>
  </w:abstractNum>
  <w:abstractNum w:abstractNumId="357">
    <w:nsid w:val="527FA04C"/>
    <w:multiLevelType w:val="hybridMultilevel"/>
    <w:lvl w:ilvl="0">
      <w:lvlJc w:val="left"/>
      <w:lvlText w:val="(%1)"/>
      <w:numFmt w:val="lowerLetter"/>
      <w:start w:val="1"/>
    </w:lvl>
  </w:abstractNum>
  <w:abstractNum w:abstractNumId="358">
    <w:nsid w:val="6FCC0624"/>
    <w:multiLevelType w:val="hybridMultilevel"/>
    <w:lvl w:ilvl="0">
      <w:lvlJc w:val="left"/>
      <w:lvlText w:val="(%1)"/>
      <w:numFmt w:val="decimal"/>
      <w:start w:val="1"/>
    </w:lvl>
  </w:abstractNum>
  <w:abstractNum w:abstractNumId="359">
    <w:nsid w:val="1DCDF795"/>
    <w:multiLevelType w:val="hybridMultilevel"/>
    <w:lvl w:ilvl="0">
      <w:lvlJc w:val="left"/>
      <w:lvlText w:val="(%1)"/>
      <w:numFmt w:val="decimal"/>
      <w:start w:val="1"/>
    </w:lvl>
  </w:abstractNum>
  <w:abstractNum w:abstractNumId="360">
    <w:nsid w:val="564580C8"/>
    <w:multiLevelType w:val="hybridMultilevel"/>
    <w:lvl w:ilvl="0">
      <w:lvlJc w:val="left"/>
      <w:lvlText w:val="(%1)"/>
      <w:numFmt w:val="decimal"/>
      <w:start w:val="2"/>
    </w:lvl>
    <w:lvl w:ilvl="1">
      <w:lvlJc w:val="left"/>
      <w:lvlText w:val="(%2)"/>
      <w:numFmt w:val="lowerLetter"/>
      <w:start w:val="24"/>
    </w:lvl>
  </w:abstractNum>
  <w:abstractNum w:abstractNumId="361">
    <w:nsid w:val="508ED897"/>
    <w:multiLevelType w:val="hybridMultilevel"/>
    <w:lvl w:ilvl="0">
      <w:lvlJc w:val="left"/>
      <w:lvlText w:val="(%1)"/>
      <w:numFmt w:val="decimal"/>
      <w:start w:val="1"/>
    </w:lvl>
  </w:abstractNum>
  <w:abstractNum w:abstractNumId="362">
    <w:nsid w:val="6A9126B5"/>
    <w:multiLevelType w:val="hybridMultilevel"/>
    <w:lvl w:ilvl="0">
      <w:lvlJc w:val="left"/>
      <w:lvlText w:val="(%1)"/>
      <w:numFmt w:val="decimal"/>
      <w:start w:val="1"/>
    </w:lvl>
    <w:lvl w:ilvl="1">
      <w:lvlJc w:val="left"/>
      <w:lvlText w:val="(%2)"/>
      <w:numFmt w:val="lowerLetter"/>
      <w:start w:val="1"/>
    </w:lvl>
  </w:abstractNum>
  <w:abstractNum w:abstractNumId="363">
    <w:nsid w:val="68104812"/>
    <w:multiLevelType w:val="hybridMultilevel"/>
    <w:lvl w:ilvl="0">
      <w:lvlJc w:val="left"/>
      <w:lvlText w:val="(%1)"/>
      <w:numFmt w:val="decimal"/>
      <w:start w:val="1"/>
    </w:lvl>
  </w:abstractNum>
  <w:abstractNum w:abstractNumId="364">
    <w:nsid w:val="62FB8680"/>
    <w:multiLevelType w:val="hybridMultilevel"/>
    <w:lvl w:ilvl="0">
      <w:lvlJc w:val="left"/>
      <w:lvlText w:val="(%1)"/>
      <w:numFmt w:val="decimal"/>
      <w:start w:val="1"/>
    </w:lvl>
  </w:abstractNum>
  <w:abstractNum w:abstractNumId="365">
    <w:nsid w:val="3A45530"/>
    <w:multiLevelType w:val="hybridMultilevel"/>
    <w:lvl w:ilvl="0">
      <w:lvlJc w:val="left"/>
      <w:lvlText w:val="(%1)"/>
      <w:numFmt w:val="lowerLetter"/>
      <w:start w:val="1"/>
    </w:lvl>
  </w:abstractNum>
  <w:abstractNum w:abstractNumId="366">
    <w:nsid w:val="4B9275D2"/>
    <w:multiLevelType w:val="hybridMultilevel"/>
    <w:lvl w:ilvl="0">
      <w:lvlJc w:val="left"/>
      <w:lvlText w:val="(%1)"/>
      <w:numFmt w:val="lowerLetter"/>
      <w:start w:val="9"/>
    </w:lvl>
  </w:abstractNum>
  <w:abstractNum w:abstractNumId="367">
    <w:nsid w:val="4F0CEEDB"/>
    <w:multiLevelType w:val="hybridMultilevel"/>
    <w:lvl w:ilvl="0">
      <w:lvlJc w:val="left"/>
      <w:lvlText w:val="(%1)"/>
      <w:numFmt w:val="lowerLetter"/>
      <w:start w:val="1"/>
    </w:lvl>
  </w:abstractNum>
  <w:abstractNum w:abstractNumId="368">
    <w:nsid w:val="61C30361"/>
    <w:multiLevelType w:val="hybridMultilevel"/>
    <w:lvl w:ilvl="0">
      <w:lvlJc w:val="left"/>
      <w:lvlText w:val="(%1)"/>
      <w:numFmt w:val="lowerLetter"/>
      <w:start w:val="8"/>
    </w:lvl>
  </w:abstractNum>
  <w:abstractNum w:abstractNumId="369">
    <w:nsid w:val="632099E0"/>
    <w:multiLevelType w:val="hybridMultilevel"/>
    <w:lvl w:ilvl="0">
      <w:lvlJc w:val="left"/>
      <w:lvlText w:val="%1"/>
      <w:numFmt w:val="lowerRoman"/>
      <w:start w:val="1"/>
    </w:lvl>
    <w:lvl w:ilvl="1">
      <w:lvlJc w:val="left"/>
      <w:lvlText w:val="(%2)"/>
      <w:numFmt w:val="lowerLetter"/>
      <w:start w:val="1"/>
    </w:lvl>
  </w:abstractNum>
  <w:abstractNum w:abstractNumId="370">
    <w:nsid w:val="24639756"/>
    <w:multiLevelType w:val="hybridMultilevel"/>
    <w:lvl w:ilvl="0">
      <w:lvlJc w:val="left"/>
      <w:lvlText w:val="(%1)"/>
      <w:numFmt w:val="lowerRoman"/>
      <w:start w:val="1"/>
    </w:lvl>
    <w:lvl w:ilvl="1">
      <w:lvlJc w:val="left"/>
      <w:lvlText w:val="%2"/>
      <w:numFmt w:val="lowerLetter"/>
      <w:start w:val="1"/>
    </w:lvl>
  </w:abstractNum>
  <w:abstractNum w:abstractNumId="371">
    <w:nsid w:val="9D30DFD"/>
    <w:multiLevelType w:val="hybridMultilevel"/>
    <w:lvl w:ilvl="0">
      <w:lvlJc w:val="left"/>
      <w:lvlText w:val="(%1)"/>
      <w:numFmt w:val="lowerLetter"/>
      <w:start w:val="1"/>
    </w:lvl>
  </w:abstractNum>
  <w:abstractNum w:abstractNumId="372">
    <w:nsid w:val="70A42016"/>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lvl w:ilvl="3">
      <w:lvlJc w:val="left"/>
      <w:lvlText w:val="%4"/>
      <w:numFmt w:val="upperLetter"/>
      <w:start w:val="1"/>
    </w:lvl>
  </w:abstractNum>
  <w:abstractNum w:abstractNumId="373">
    <w:nsid w:val="161BC243"/>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374">
    <w:nsid w:val="16E908C8"/>
    <w:multiLevelType w:val="hybridMultilevel"/>
    <w:lvl w:ilvl="0">
      <w:lvlJc w:val="left"/>
      <w:lvlText w:val="(%1)"/>
      <w:numFmt w:val="upperLetter"/>
      <w:start w:val="2"/>
    </w:lvl>
    <w:lvl w:ilvl="1">
      <w:lvlJc w:val="left"/>
      <w:lvlText w:val="(%2)"/>
      <w:numFmt w:val="lowerRoman"/>
      <w:start w:val="3"/>
    </w:lvl>
    <w:lvl w:ilvl="2">
      <w:lvlJc w:val="left"/>
      <w:lvlText w:val="%3"/>
      <w:numFmt w:val="lowerLetter"/>
      <w:start w:val="1"/>
    </w:lvl>
    <w:lvl w:ilvl="3">
      <w:lvlJc w:val="left"/>
      <w:lvlText w:val="(%4)"/>
      <w:numFmt w:val="upperLetter"/>
      <w:start w:val="1"/>
    </w:lvl>
  </w:abstractNum>
  <w:abstractNum w:abstractNumId="375">
    <w:nsid w:val="2E0D7671"/>
    <w:multiLevelType w:val="hybridMultilevel"/>
    <w:lvl w:ilvl="0">
      <w:lvlJc w:val="left"/>
      <w:lvlText w:val="(%1)"/>
      <w:numFmt w:val="lowerRoman"/>
      <w:start w:val="4"/>
    </w:lvl>
    <w:lvl w:ilvl="1">
      <w:lvlJc w:val="left"/>
      <w:lvlText w:val="(%2)"/>
      <w:numFmt w:val="upperLetter"/>
      <w:start w:val="1"/>
    </w:lvl>
  </w:abstractNum>
  <w:abstractNum w:abstractNumId="376">
    <w:nsid w:val="38B59EFF"/>
    <w:multiLevelType w:val="hybridMultilevel"/>
    <w:lvl w:ilvl="0">
      <w:lvlJc w:val="left"/>
      <w:lvlText w:val="(%1)"/>
      <w:numFmt w:val="lowerLetter"/>
      <w:start w:val="3"/>
    </w:lvl>
  </w:abstractNum>
  <w:abstractNum w:abstractNumId="377">
    <w:nsid w:val="307995CA"/>
    <w:multiLevelType w:val="hybridMultilevel"/>
    <w:lvl w:ilvl="0">
      <w:lvlJc w:val="left"/>
      <w:lvlText w:val="(%1)"/>
      <w:numFmt w:val="lowerRoman"/>
      <w:start w:val="1"/>
    </w:lvl>
    <w:lvl w:ilvl="1">
      <w:lvlJc w:val="left"/>
      <w:lvlText w:val="(%2)"/>
      <w:numFmt w:val="upperLetter"/>
      <w:start w:val="1"/>
    </w:lvl>
  </w:abstractNum>
  <w:abstractNum w:abstractNumId="378">
    <w:nsid w:val="52E2024D"/>
    <w:multiLevelType w:val="hybridMultilevel"/>
    <w:lvl w:ilvl="0">
      <w:lvlJc w:val="left"/>
      <w:lvlText w:val="(%1)"/>
      <w:numFmt w:val="upperLetter"/>
      <w:start w:val="4"/>
    </w:lvl>
  </w:abstractNum>
  <w:abstractNum w:abstractNumId="379">
    <w:nsid w:val="CE344B5"/>
    <w:multiLevelType w:val="hybridMultilevel"/>
    <w:lvl w:ilvl="0">
      <w:lvlJc w:val="left"/>
      <w:lvlText w:val="(%1)"/>
      <w:numFmt w:val="lowerRoman"/>
      <w:start w:val="2"/>
    </w:lvl>
    <w:lvl w:ilvl="1">
      <w:lvlJc w:val="left"/>
      <w:lvlText w:val="(%2)"/>
      <w:numFmt w:val="upperLetter"/>
      <w:start w:val="1"/>
    </w:lvl>
  </w:abstractNum>
  <w:abstractNum w:abstractNumId="380">
    <w:nsid w:val="29B0E9A8"/>
    <w:multiLevelType w:val="hybridMultilevel"/>
    <w:lvl w:ilvl="0">
      <w:lvlJc w:val="left"/>
      <w:lvlText w:val="(%1)"/>
      <w:numFmt w:val="lowerRoman"/>
      <w:start w:val="4"/>
    </w:lvl>
  </w:abstractNum>
  <w:abstractNum w:abstractNumId="381">
    <w:nsid w:val="6F49CD8A"/>
    <w:multiLevelType w:val="hybridMultilevel"/>
    <w:lvl w:ilvl="0">
      <w:lvlJc w:val="left"/>
      <w:lvlText w:val="(%1)"/>
      <w:numFmt w:val="lowerLetter"/>
      <w:start w:val="4"/>
    </w:lvl>
  </w:abstractNum>
  <w:abstractNum w:abstractNumId="382">
    <w:nsid w:val="4DC5D907"/>
    <w:multiLevelType w:val="hybridMultilevel"/>
    <w:lvl w:ilvl="0">
      <w:lvlJc w:val="left"/>
      <w:lvlText w:val="(%1)"/>
      <w:numFmt w:val="lowerRoman"/>
      <w:start w:val="1"/>
    </w:lvl>
    <w:lvl w:ilvl="1">
      <w:lvlJc w:val="left"/>
      <w:lvlText w:val="(%2)"/>
      <w:numFmt w:val="upperLetter"/>
      <w:start w:val="1"/>
    </w:lvl>
  </w:abstractNum>
  <w:abstractNum w:abstractNumId="383">
    <w:nsid w:val="D55945E"/>
    <w:multiLevelType w:val="hybridMultilevel"/>
    <w:lvl w:ilvl="0">
      <w:lvlJc w:val="left"/>
      <w:lvlText w:val="(%1)"/>
      <w:numFmt w:val="upperLetter"/>
      <w:start w:val="6"/>
    </w:lvl>
  </w:abstractNum>
  <w:abstractNum w:abstractNumId="384">
    <w:nsid w:val="672417E1"/>
    <w:multiLevelType w:val="hybridMultilevel"/>
    <w:lvl w:ilvl="0">
      <w:lvlJc w:val="left"/>
      <w:lvlText w:val="(%1)"/>
      <w:numFmt w:val="lowerRoman"/>
      <w:start w:val="2"/>
    </w:lvl>
    <w:lvl w:ilvl="1">
      <w:lvlJc w:val="left"/>
      <w:lvlText w:val="(%2)"/>
      <w:numFmt w:val="upperLetter"/>
      <w:start w:val="1"/>
    </w:lvl>
  </w:abstractNum>
  <w:abstractNum w:abstractNumId="385">
    <w:nsid w:val="5FF6CA09"/>
    <w:multiLevelType w:val="hybridMultilevel"/>
    <w:lvl w:ilvl="0">
      <w:lvlJc w:val="left"/>
      <w:lvlText w:val="(%1)"/>
      <w:numFmt w:val="lowerRoman"/>
      <w:start w:val="3"/>
    </w:lvl>
  </w:abstractNum>
  <w:abstractNum w:abstractNumId="386">
    <w:nsid w:val="330B1333"/>
    <w:multiLevelType w:val="hybridMultilevel"/>
    <w:lvl w:ilvl="0">
      <w:lvlJc w:val="left"/>
      <w:lvlText w:val="(%1)"/>
      <w:numFmt w:val="lowerLetter"/>
      <w:start w:val="5"/>
    </w:lvl>
  </w:abstractNum>
  <w:abstractNum w:abstractNumId="387">
    <w:nsid w:val="2EF32EA6"/>
    <w:multiLevelType w:val="hybridMultilevel"/>
    <w:lvl w:ilvl="0">
      <w:lvlJc w:val="left"/>
      <w:lvlText w:val="(%1)"/>
      <w:numFmt w:val="lowerRoman"/>
      <w:start w:val="1"/>
    </w:lvl>
    <w:lvl w:ilvl="1">
      <w:lvlJc w:val="left"/>
      <w:lvlText w:val="(%2)"/>
      <w:numFmt w:val="lowerLetter"/>
      <w:start w:val="6"/>
    </w:lvl>
    <w:lvl w:ilvl="2">
      <w:lvlJc w:val="left"/>
      <w:lvlText w:val="(%3)"/>
      <w:numFmt w:val="upperLetter"/>
      <w:start w:val="1"/>
    </w:lvl>
  </w:abstractNum>
  <w:abstractNum w:abstractNumId="388">
    <w:nsid w:val="32766A55"/>
    <w:multiLevelType w:val="hybridMultilevel"/>
    <w:lvl w:ilvl="0">
      <w:lvlJc w:val="left"/>
      <w:lvlText w:val="(%1)"/>
      <w:numFmt w:val="lowerRoman"/>
      <w:start w:val="1"/>
    </w:lvl>
    <w:lvl w:ilvl="1">
      <w:lvlJc w:val="left"/>
      <w:lvlText w:val="(%2)"/>
      <w:numFmt w:val="upperLetter"/>
      <w:start w:val="1"/>
    </w:lvl>
  </w:abstractNum>
  <w:abstractNum w:abstractNumId="389">
    <w:nsid w:val="22D71957"/>
    <w:multiLevelType w:val="hybridMultilevel"/>
    <w:lvl w:ilvl="0">
      <w:lvlJc w:val="left"/>
      <w:lvlText w:val="%1"/>
      <w:numFmt w:val="lowerRoman"/>
      <w:start w:val="1"/>
    </w:lvl>
    <w:lvl w:ilvl="1">
      <w:lvlJc w:val="left"/>
      <w:lvlText w:val="(%2)"/>
      <w:numFmt w:val="upperLetter"/>
      <w:start w:val="2"/>
    </w:lvl>
  </w:abstractNum>
  <w:abstractNum w:abstractNumId="390">
    <w:nsid w:val="4CC1263B"/>
    <w:multiLevelType w:val="hybridMultilevel"/>
    <w:lvl w:ilvl="0">
      <w:lvlJc w:val="left"/>
      <w:lvlText w:val="(%1)"/>
      <w:numFmt w:val="lowerRoman"/>
      <w:start w:val="2"/>
    </w:lvl>
    <w:lvl w:ilvl="1">
      <w:lvlJc w:val="left"/>
      <w:lvlText w:val="%2"/>
      <w:numFmt w:val="upperLetter"/>
      <w:start w:val="1"/>
    </w:lvl>
  </w:abstractNum>
  <w:abstractNum w:abstractNumId="391">
    <w:nsid w:val="8BBEB1D"/>
    <w:multiLevelType w:val="hybridMultilevel"/>
    <w:lvl w:ilvl="0">
      <w:lvlJc w:val="left"/>
      <w:lvlText w:val="(%1)"/>
      <w:numFmt w:val="lowerLetter"/>
      <w:start w:val="7"/>
    </w:lvl>
  </w:abstractNum>
  <w:abstractNum w:abstractNumId="392">
    <w:nsid w:val="7365F1EE"/>
    <w:multiLevelType w:val="hybridMultilevel"/>
    <w:lvl w:ilvl="0">
      <w:lvlJc w:val="left"/>
      <w:lvlText w:val="(%1)"/>
      <w:numFmt w:val="lowerLetter"/>
      <w:start w:val="8"/>
    </w:lvl>
  </w:abstractNum>
  <w:abstractNum w:abstractNumId="393">
    <w:nsid w:val="37524CF0"/>
    <w:multiLevelType w:val="hybridMultilevel"/>
    <w:lvl w:ilvl="0">
      <w:lvlJc w:val="left"/>
      <w:lvlText w:val="(%1)"/>
      <w:numFmt w:val="lowerRoman"/>
      <w:start w:val="2"/>
    </w:lvl>
  </w:abstractNum>
  <w:abstractNum w:abstractNumId="394">
    <w:nsid w:val="70CC332F"/>
    <w:multiLevelType w:val="hybridMultilevel"/>
    <w:lvl w:ilvl="0">
      <w:lvlJc w:val="left"/>
      <w:lvlText w:val="(%1)"/>
      <w:numFmt w:val="lowerRoman"/>
      <w:start w:val="9"/>
    </w:lvl>
  </w:abstractNum>
  <w:abstractNum w:abstractNumId="395">
    <w:nsid w:val="5661786E"/>
    <w:multiLevelType w:val="hybridMultilevel"/>
    <w:lvl w:ilvl="0">
      <w:lvlJc w:val="left"/>
      <w:lvlText w:val="(%1)"/>
      <w:numFmt w:val="lowerLetter"/>
      <w:start w:val="1"/>
    </w:lvl>
  </w:abstractNum>
  <w:abstractNum w:abstractNumId="396">
    <w:nsid w:val="3AF6A220"/>
    <w:multiLevelType w:val="hybridMultilevel"/>
    <w:lvl w:ilvl="0">
      <w:lvlJc w:val="left"/>
      <w:lvlText w:val="(%1)"/>
      <w:numFmt w:val="lowerLetter"/>
      <w:start w:val="8"/>
    </w:lvl>
  </w:abstractNum>
  <w:abstractNum w:abstractNumId="397">
    <w:nsid w:val="3C5EA902"/>
    <w:multiLevelType w:val="hybridMultilevel"/>
    <w:lvl w:ilvl="0">
      <w:lvlJc w:val="left"/>
      <w:lvlText w:val="(%1)"/>
      <w:numFmt w:val="lowerLetter"/>
      <w:start w:val="1"/>
    </w:lvl>
  </w:abstractNum>
  <w:abstractNum w:abstractNumId="398">
    <w:nsid w:val="256E6749"/>
    <w:multiLevelType w:val="hybridMultilevel"/>
    <w:lvl w:ilvl="0">
      <w:lvlJc w:val="left"/>
      <w:lvlText w:val="(%1)"/>
      <w:numFmt w:val="lowerLetter"/>
      <w:start w:val="1"/>
    </w:lvl>
  </w:abstractNum>
  <w:abstractNum w:abstractNumId="399">
    <w:nsid w:val="1CB9A581"/>
    <w:multiLevelType w:val="hybridMultilevel"/>
    <w:lvl w:ilvl="0">
      <w:lvlJc w:val="left"/>
      <w:lvlText w:val="(%1)"/>
      <w:numFmt w:val="lowerLetter"/>
      <w:start w:val="1"/>
    </w:lvl>
  </w:abstractNum>
  <w:abstractNum w:abstractNumId="400">
    <w:nsid w:val="1F7F42E2"/>
    <w:multiLevelType w:val="hybridMultilevel"/>
    <w:lvl w:ilvl="0">
      <w:lvlJc w:val="left"/>
      <w:lvlText w:val="%1"/>
      <w:numFmt w:val="lowerRoman"/>
      <w:start w:val="1"/>
    </w:lvl>
    <w:lvl w:ilvl="1">
      <w:lvlJc w:val="left"/>
      <w:lvlText w:val="(%2)"/>
      <w:numFmt w:val="lowerLetter"/>
      <w:start w:val="3"/>
    </w:lvl>
  </w:abstractNum>
  <w:abstractNum w:abstractNumId="401">
    <w:nsid w:val="49D1FEA0"/>
    <w:multiLevelType w:val="hybridMultilevel"/>
    <w:lvl w:ilvl="0">
      <w:lvlJc w:val="left"/>
      <w:lvlText w:val="(%1)"/>
      <w:numFmt w:val="lowerRoman"/>
      <w:start w:val="1"/>
    </w:lvl>
    <w:lvl w:ilvl="1">
      <w:lvlJc w:val="left"/>
      <w:lvlText w:val="%2"/>
      <w:numFmt w:val="lowerLetter"/>
      <w:start w:val="1"/>
    </w:lvl>
  </w:abstractNum>
  <w:abstractNum w:abstractNumId="402">
    <w:nsid w:val="268CB37F"/>
    <w:multiLevelType w:val="hybridMultilevel"/>
    <w:lvl w:ilvl="0">
      <w:lvlJc w:val="left"/>
      <w:lvlText w:val="%1"/>
      <w:numFmt w:val="lowerRoman"/>
      <w:start w:val="1"/>
    </w:lvl>
    <w:lvl w:ilvl="1">
      <w:lvlJc w:val="left"/>
      <w:lvlText w:val="(%2)"/>
      <w:numFmt w:val="lowerLetter"/>
      <w:start w:val="5"/>
    </w:lvl>
  </w:abstractNum>
  <w:abstractNum w:abstractNumId="403">
    <w:nsid w:val="102362F8"/>
    <w:multiLevelType w:val="hybridMultilevel"/>
    <w:lvl w:ilvl="0">
      <w:lvlJc w:val="left"/>
      <w:lvlText w:val="(%1)"/>
      <w:numFmt w:val="lowerRoman"/>
      <w:start w:val="8"/>
    </w:lvl>
    <w:lvl w:ilvl="1">
      <w:lvlJc w:val="left"/>
      <w:lvlText w:val="(%2)"/>
      <w:numFmt w:val="lowerLetter"/>
      <w:start w:val="6"/>
    </w:lvl>
  </w:abstractNum>
  <w:abstractNum w:abstractNumId="404">
    <w:nsid w:val="5FEDC0E3"/>
    <w:multiLevelType w:val="hybridMultilevel"/>
    <w:lvl w:ilvl="0">
      <w:lvlJc w:val="left"/>
      <w:lvlText w:val="(%1)"/>
      <w:numFmt w:val="lowerLetter"/>
      <w:start w:val="1"/>
    </w:lvl>
    <w:lvl w:ilvl="1">
      <w:lvlJc w:val="left"/>
      <w:lvlText w:val="(%2)"/>
      <w:numFmt w:val="decimal"/>
      <w:start w:val="1"/>
    </w:lvl>
  </w:abstractNum>
  <w:abstractNum w:abstractNumId="405">
    <w:nsid w:val="3D75BC47"/>
    <w:multiLevelType w:val="hybridMultilevel"/>
    <w:lvl w:ilvl="0">
      <w:lvlJc w:val="left"/>
      <w:lvlText w:val="(%1)"/>
      <w:numFmt w:val="lowerLetter"/>
      <w:start w:val="2"/>
    </w:lvl>
  </w:abstractNum>
  <w:abstractNum w:abstractNumId="406">
    <w:nsid w:val="3E30D969"/>
    <w:multiLevelType w:val="hybridMultilevel"/>
    <w:lvl w:ilvl="0">
      <w:lvlJc w:val="left"/>
      <w:lvlText w:val="(%1)"/>
      <w:numFmt w:val="lowerLetter"/>
      <w:start w:val="1"/>
    </w:lvl>
  </w:abstractNum>
  <w:abstractNum w:abstractNumId="407">
    <w:nsid w:val="18A35FE3"/>
    <w:multiLevelType w:val="hybridMultilevel"/>
    <w:lvl w:ilvl="0">
      <w:lvlJc w:val="left"/>
      <w:lvlText w:val="(%1)"/>
      <w:numFmt w:val="lowerLetter"/>
      <w:start w:val="1"/>
    </w:lvl>
  </w:abstractNum>
  <w:abstractNum w:abstractNumId="408">
    <w:nsid w:val="6DEF5211"/>
    <w:multiLevelType w:val="hybridMultilevel"/>
    <w:lvl w:ilvl="0">
      <w:lvlJc w:val="left"/>
      <w:lvlText w:val="%1"/>
      <w:numFmt w:val="decimal"/>
      <w:start w:val="1"/>
    </w:lvl>
    <w:lvl w:ilvl="1">
      <w:lvlJc w:val="left"/>
      <w:lvlText w:val="(%2)"/>
      <w:numFmt w:val="lowerLetter"/>
      <w:start w:val="2"/>
    </w:lvl>
  </w:abstractNum>
  <w:abstractNum w:abstractNumId="409">
    <w:nsid w:val="1112DBB6"/>
    <w:multiLevelType w:val="hybridMultilevel"/>
    <w:lvl w:ilvl="0">
      <w:lvlJc w:val="left"/>
      <w:lvlText w:val="(%1)"/>
      <w:numFmt w:val="decimal"/>
      <w:start w:val="1"/>
    </w:lvl>
    <w:lvl w:ilvl="1">
      <w:lvlJc w:val="left"/>
      <w:lvlText w:val="%2"/>
      <w:numFmt w:val="lowerLetter"/>
      <w:start w:val="1"/>
    </w:lvl>
  </w:abstractNum>
  <w:abstractNum w:abstractNumId="410">
    <w:nsid w:val="2586A498"/>
    <w:multiLevelType w:val="hybridMultilevel"/>
    <w:lvl w:ilvl="0">
      <w:lvlJc w:val="left"/>
      <w:lvlText w:val="(%1)"/>
      <w:numFmt w:val="decimal"/>
      <w:start w:val="6"/>
    </w:lvl>
    <w:lvl w:ilvl="1">
      <w:lvlJc w:val="left"/>
      <w:lvlText w:val="(%2)"/>
      <w:numFmt w:val="decimal"/>
      <w:start w:val="7"/>
    </w:lvl>
  </w:abstractNum>
  <w:abstractNum w:abstractNumId="411">
    <w:nsid w:val="17A03BB9"/>
    <w:multiLevelType w:val="hybridMultilevel"/>
    <w:lvl w:ilvl="0">
      <w:lvlJc w:val="left"/>
      <w:lvlText w:val="(%1)"/>
      <w:numFmt w:val="lowerLetter"/>
      <w:start w:val="4"/>
    </w:lvl>
  </w:abstractNum>
  <w:abstractNum w:abstractNumId="412">
    <w:nsid w:val="5CA941"/>
    <w:multiLevelType w:val="hybridMultilevel"/>
    <w:lvl w:ilvl="0">
      <w:lvlJc w:val="left"/>
      <w:lvlText w:val="(%1)"/>
      <w:numFmt w:val="lowerLetter"/>
      <w:start w:val="6"/>
    </w:lvl>
  </w:abstractNum>
  <w:abstractNum w:abstractNumId="413">
    <w:nsid w:val="734C7D9F"/>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414">
    <w:nsid w:val="24F5D018"/>
    <w:multiLevelType w:val="hybridMultilevel"/>
    <w:lvl w:ilvl="0">
      <w:lvlJc w:val="left"/>
      <w:lvlText w:val="(%1)"/>
      <w:numFmt w:val="upperLetter"/>
      <w:start w:val="9"/>
    </w:lvl>
    <w:lvl w:ilvl="1">
      <w:lvlJc w:val="left"/>
      <w:lvlText w:val="%2"/>
      <w:numFmt w:val="lowerLetter"/>
      <w:start w:val="1"/>
    </w:lvl>
    <w:lvl w:ilvl="2">
      <w:lvlJc w:val="left"/>
      <w:lvlText w:val="(%3)"/>
      <w:numFmt w:val="upperLetter"/>
      <w:start w:val="1"/>
    </w:lvl>
  </w:abstractNum>
  <w:abstractNum w:abstractNumId="415">
    <w:nsid w:val="6780C122"/>
    <w:multiLevelType w:val="hybridMultilevel"/>
    <w:lvl w:ilvl="0">
      <w:lvlJc w:val="left"/>
      <w:lvlText w:val="(%1)"/>
      <w:numFmt w:val="upperLetter"/>
      <w:start w:val="35"/>
    </w:lvl>
  </w:abstractNum>
  <w:abstractNum w:abstractNumId="416">
    <w:nsid w:val="534347A8"/>
    <w:multiLevelType w:val="hybridMultilevel"/>
    <w:lvl w:ilvl="0">
      <w:lvlJc w:val="left"/>
      <w:lvlText w:val="(%1)"/>
      <w:numFmt w:val="upperLetter"/>
      <w:start w:val="61"/>
    </w:lvl>
    <w:lvl w:ilvl="1">
      <w:lvlJc w:val="left"/>
      <w:lvlText w:val="(%2)"/>
      <w:numFmt w:val="upperLetter"/>
      <w:start w:val="1"/>
    </w:lvl>
  </w:abstractNum>
  <w:abstractNum w:abstractNumId="417">
    <w:nsid w:val="5800E34B"/>
    <w:multiLevelType w:val="hybridMultilevel"/>
    <w:lvl w:ilvl="0">
      <w:lvlJc w:val="left"/>
      <w:lvlText w:val="(%1)"/>
      <w:numFmt w:val="decimal"/>
      <w:start w:val="1"/>
    </w:lvl>
  </w:abstractNum>
  <w:abstractNum w:abstractNumId="418">
    <w:nsid w:val="1673EFC8"/>
    <w:multiLevelType w:val="hybridMultilevel"/>
    <w:lvl w:ilvl="0">
      <w:lvlJc w:val="left"/>
      <w:lvlText w:val="(%1)"/>
      <w:numFmt w:val="decimal"/>
      <w:start w:val="3"/>
    </w:lvl>
  </w:abstractNum>
  <w:abstractNum w:abstractNumId="419">
    <w:nsid w:val="5B9B1FD"/>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24"/>
    </w:lvl>
  </w:abstractNum>
  <w:abstractNum w:abstractNumId="420">
    <w:nsid w:val="7AD7FCA2"/>
    <w:multiLevelType w:val="hybridMultilevel"/>
    <w:lvl w:ilvl="0">
      <w:lvlJc w:val="left"/>
      <w:lvlText w:val="(%1)"/>
      <w:numFmt w:val="upperLetter"/>
      <w:start w:val="3"/>
    </w:lvl>
  </w:abstractNum>
  <w:abstractNum w:abstractNumId="421">
    <w:nsid w:val="63351604"/>
    <w:multiLevelType w:val="hybridMultilevel"/>
    <w:lvl w:ilvl="0">
      <w:lvlJc w:val="left"/>
      <w:lvlText w:val="%1"/>
      <w:numFmt w:val="upperLetter"/>
      <w:start w:val="1"/>
    </w:lvl>
    <w:lvl w:ilvl="1">
      <w:lvlJc w:val="left"/>
      <w:lvlText w:val="(%2)"/>
      <w:numFmt w:val="lowerRoman"/>
      <w:start w:val="1"/>
    </w:lvl>
  </w:abstractNum>
  <w:abstractNum w:abstractNumId="422">
    <w:nsid w:val="E759D1A"/>
    <w:multiLevelType w:val="hybridMultilevel"/>
    <w:lvl w:ilvl="0">
      <w:lvlJc w:val="left"/>
      <w:lvlText w:val="(%1)"/>
      <w:numFmt w:val="upperLetter"/>
      <w:start w:val="5"/>
    </w:lvl>
    <w:lvl w:ilvl="1">
      <w:lvlJc w:val="left"/>
      <w:lvlText w:val="%2"/>
      <w:numFmt w:val="lowerRoman"/>
      <w:start w:val="1"/>
    </w:lvl>
  </w:abstractNum>
  <w:abstractNum w:abstractNumId="423">
    <w:nsid w:val="6E3DEE90"/>
    <w:multiLevelType w:val="hybridMultilevel"/>
    <w:lvl w:ilvl="0">
      <w:lvlJc w:val="left"/>
      <w:lvlText w:val="(%1)"/>
      <w:numFmt w:val="decimal"/>
      <w:start w:val="1"/>
    </w:lvl>
  </w:abstractNum>
  <w:abstractNum w:abstractNumId="424">
    <w:nsid w:val="1A8762F4"/>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425">
    <w:nsid w:val="7F41D049"/>
    <w:multiLevelType w:val="hybridMultilevel"/>
    <w:lvl w:ilvl="0">
      <w:lvlJc w:val="left"/>
      <w:lvlText w:val="%1"/>
      <w:numFmt w:val="decimal"/>
      <w:start w:val="1"/>
    </w:lvl>
    <w:lvl w:ilvl="1">
      <w:lvlJc w:val="left"/>
      <w:lvlText w:val="(%2)"/>
      <w:numFmt w:val="decimal"/>
      <w:start w:val="4"/>
    </w:lvl>
    <w:lvl w:ilvl="2">
      <w:lvlJc w:val="left"/>
      <w:lvlText w:val="%3"/>
      <w:numFmt w:val="upperLetter"/>
      <w:start w:val="1"/>
    </w:lvl>
    <w:lvl w:ilvl="3">
      <w:lvlJc w:val="left"/>
      <w:lvlText w:val="%4"/>
      <w:numFmt w:val="upperLetter"/>
      <w:start w:val="1"/>
    </w:lvl>
  </w:abstractNum>
  <w:abstractNum w:abstractNumId="426">
    <w:nsid w:val="449F66FE"/>
    <w:multiLevelType w:val="hybridMultilevel"/>
    <w:lvl w:ilvl="0">
      <w:lvlJc w:val="left"/>
      <w:lvlText w:val="(%1)"/>
      <w:numFmt w:val="decimal"/>
      <w:start w:val="4"/>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427">
    <w:nsid w:val="557E0515"/>
    <w:multiLevelType w:val="hybridMultilevel"/>
    <w:lvl w:ilvl="0">
      <w:lvlJc w:val="left"/>
      <w:lvlText w:val="(%1)"/>
      <w:numFmt w:val="decimal"/>
      <w:start w:val="5"/>
    </w:lvl>
    <w:lvl w:ilvl="1">
      <w:lvlJc w:val="left"/>
      <w:lvlText w:val="(%2)"/>
      <w:numFmt w:val="upperLetter"/>
      <w:start w:val="2"/>
    </w:lvl>
  </w:abstractNum>
  <w:abstractNum w:abstractNumId="428">
    <w:nsid w:val="3BA0794B"/>
    <w:multiLevelType w:val="hybridMultilevel"/>
    <w:lvl w:ilvl="0">
      <w:lvlJc w:val="left"/>
      <w:lvlText w:val="(%1)"/>
      <w:numFmt w:val="decimal"/>
      <w:start w:val="7"/>
    </w:lvl>
  </w:abstractNum>
  <w:abstractNum w:abstractNumId="429">
    <w:nsid w:val="6A0DCE48"/>
    <w:multiLevelType w:val="hybridMultilevel"/>
    <w:lvl w:ilvl="0">
      <w:lvlJc w:val="left"/>
      <w:lvlText w:val="(%1)"/>
      <w:numFmt w:val="decimal"/>
      <w:start w:val="13"/>
    </w:lvl>
    <w:lvl w:ilvl="1">
      <w:lvlJc w:val="left"/>
      <w:lvlText w:val="(%2)"/>
      <w:numFmt w:val="upperLetter"/>
      <w:start w:val="1"/>
    </w:lvl>
  </w:abstractNum>
  <w:abstractNum w:abstractNumId="430">
    <w:nsid w:val="7237AA96"/>
    <w:multiLevelType w:val="hybridMultilevel"/>
    <w:lvl w:ilvl="0">
      <w:lvlJc w:val="left"/>
      <w:lvlText w:val="(%1)"/>
      <w:numFmt w:val="lowerLetter"/>
      <w:start w:val="3"/>
    </w:lvl>
  </w:abstractNum>
  <w:abstractNum w:abstractNumId="431">
    <w:nsid w:val="5B1FBC2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432">
    <w:nsid w:val="33DFCCE8"/>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2"/>
    </w:lvl>
  </w:abstractNum>
  <w:abstractNum w:abstractNumId="433">
    <w:nsid w:val="18C45E15"/>
    <w:multiLevelType w:val="hybridMultilevel"/>
    <w:lvl w:ilvl="0">
      <w:lvlJc w:val="left"/>
      <w:lvlText w:val="%1"/>
      <w:numFmt w:val="decimal"/>
      <w:start w:val="1"/>
    </w:lvl>
    <w:lvl w:ilvl="1">
      <w:lvlJc w:val="left"/>
      <w:lvlText w:val="(%2)"/>
      <w:numFmt w:val="decimal"/>
      <w:start w:val="1"/>
    </w:lvl>
  </w:abstractNum>
  <w:abstractNum w:abstractNumId="434">
    <w:nsid w:val="6B431F25"/>
    <w:multiLevelType w:val="hybridMultilevel"/>
    <w:lvl w:ilvl="0">
      <w:lvlJc w:val="left"/>
      <w:lvlText w:val="(%1)"/>
      <w:numFmt w:val="decimal"/>
      <w:start w:val="3"/>
    </w:lvl>
    <w:lvl w:ilvl="1">
      <w:lvlJc w:val="left"/>
      <w:lvlText w:val="(%2)"/>
      <w:numFmt w:val="decimal"/>
      <w:start w:val="4"/>
    </w:lvl>
  </w:abstractNum>
  <w:abstractNum w:abstractNumId="435">
    <w:nsid w:val="13CD8DCB"/>
    <w:multiLevelType w:val="hybridMultilevel"/>
    <w:lvl w:ilvl="0">
      <w:lvlJc w:val="left"/>
      <w:lvlText w:val="(%1)"/>
      <w:numFmt w:val="decimal"/>
      <w:start w:val="6"/>
    </w:lvl>
  </w:abstractNum>
  <w:abstractNum w:abstractNumId="436">
    <w:nsid w:val="563A1A5C"/>
    <w:multiLevelType w:val="hybridMultilevel"/>
    <w:lvl w:ilvl="0">
      <w:lvlJc w:val="left"/>
      <w:lvlText w:val="(%1)"/>
      <w:numFmt w:val="lowerLetter"/>
      <w:start w:val="1"/>
    </w:lvl>
  </w:abstractNum>
  <w:abstractNum w:abstractNumId="437">
    <w:nsid w:val="2973F88F"/>
    <w:multiLevelType w:val="hybridMultilevel"/>
    <w:lvl w:ilvl="0">
      <w:lvlJc w:val="left"/>
      <w:lvlText w:val="(%1)"/>
      <w:numFmt w:val="decimal"/>
      <w:start w:val="1"/>
    </w:lvl>
  </w:abstractNum>
  <w:abstractNum w:abstractNumId="438">
    <w:nsid w:val="2C70EDAE"/>
    <w:multiLevelType w:val="hybridMultilevel"/>
    <w:lvl w:ilvl="0">
      <w:lvlJc w:val="left"/>
      <w:lvlText w:val="%1"/>
      <w:numFmt w:val="decimal"/>
      <w:start w:val="1"/>
    </w:lvl>
    <w:lvl w:ilvl="1">
      <w:lvlJc w:val="left"/>
      <w:lvlText w:val="(%2)"/>
      <w:numFmt w:val="upperLetter"/>
      <w:start w:val="1"/>
    </w:lvl>
  </w:abstractNum>
  <w:abstractNum w:abstractNumId="439">
    <w:nsid w:val="44296C6D"/>
    <w:multiLevelType w:val="hybridMultilevel"/>
    <w:lvl w:ilvl="0">
      <w:lvlJc w:val="left"/>
      <w:lvlText w:val="(%1)"/>
      <w:numFmt w:val="decimal"/>
      <w:start w:val="7"/>
    </w:lvl>
    <w:lvl w:ilvl="1">
      <w:lvlJc w:val="left"/>
      <w:lvlText w:val="%2"/>
      <w:numFmt w:val="upperLetter"/>
      <w:start w:val="1"/>
    </w:lvl>
  </w:abstractNum>
  <w:abstractNum w:abstractNumId="440">
    <w:nsid w:val="3A86D445"/>
    <w:multiLevelType w:val="hybridMultilevel"/>
    <w:lvl w:ilvl="0">
      <w:lvlJc w:val="left"/>
      <w:lvlText w:val="(%1)"/>
      <w:numFmt w:val="decimal"/>
      <w:start w:val="13"/>
    </w:lvl>
    <w:lvl w:ilvl="1">
      <w:lvlJc w:val="left"/>
      <w:lvlText w:val="(%2)"/>
      <w:numFmt w:val="upperLetter"/>
      <w:start w:val="1"/>
    </w:lvl>
  </w:abstractNum>
  <w:abstractNum w:abstractNumId="441">
    <w:nsid w:val="51F79246"/>
    <w:multiLevelType w:val="hybridMultilevel"/>
    <w:lvl w:ilvl="0">
      <w:lvlJc w:val="left"/>
      <w:lvlText w:val="(%1)"/>
      <w:numFmt w:val="lowerRoman"/>
      <w:start w:val="1"/>
    </w:lvl>
  </w:abstractNum>
  <w:abstractNum w:abstractNumId="442">
    <w:nsid w:val="5BC9A827"/>
    <w:multiLevelType w:val="hybridMultilevel"/>
    <w:lvl w:ilvl="0">
      <w:lvlJc w:val="left"/>
      <w:lvlText w:val="(%1)"/>
      <w:numFmt w:val="lowerRoman"/>
      <w:start w:val="2"/>
    </w:lvl>
  </w:abstractNum>
  <w:abstractNum w:abstractNumId="443">
    <w:nsid w:val="3AE37D86"/>
    <w:multiLevelType w:val="hybridMultilevel"/>
    <w:lvl w:ilvl="0">
      <w:lvlJc w:val="left"/>
      <w:lvlText w:val="(%1)"/>
      <w:numFmt w:val="decimal"/>
      <w:start w:val="14"/>
    </w:lvl>
    <w:lvl w:ilvl="1">
      <w:lvlJc w:val="left"/>
      <w:lvlText w:val="(%2)"/>
      <w:numFmt w:val="upperLetter"/>
      <w:start w:val="1"/>
    </w:lvl>
  </w:abstractNum>
  <w:abstractNum w:abstractNumId="444">
    <w:nsid w:val="45440FE5"/>
    <w:multiLevelType w:val="hybridMultilevel"/>
    <w:lvl w:ilvl="0">
      <w:lvlJc w:val="left"/>
      <w:lvlText w:val="%1"/>
      <w:numFmt w:val="decimal"/>
      <w:start w:val="1"/>
    </w:lvl>
    <w:lvl w:ilvl="1">
      <w:lvlJc w:val="left"/>
      <w:lvlText w:val="(%2)"/>
      <w:numFmt w:val="upperLetter"/>
      <w:start w:val="2"/>
    </w:lvl>
  </w:abstractNum>
  <w:abstractNum w:abstractNumId="445">
    <w:nsid w:val="BF783F"/>
    <w:multiLevelType w:val="hybridMultilevel"/>
    <w:lvl w:ilvl="0">
      <w:lvlJc w:val="left"/>
      <w:lvlText w:val="(%1)"/>
      <w:numFmt w:val="decimal"/>
      <w:start w:val="18"/>
    </w:lvl>
    <w:lvl w:ilvl="1">
      <w:lvlJc w:val="left"/>
      <w:lvlText w:val="%2"/>
      <w:numFmt w:val="upperLetter"/>
      <w:start w:val="1"/>
    </w:lvl>
  </w:abstractNum>
  <w:abstractNum w:abstractNumId="446">
    <w:nsid w:val="22643EA9"/>
    <w:multiLevelType w:val="hybridMultilevel"/>
    <w:lvl w:ilvl="0">
      <w:lvlJc w:val="left"/>
      <w:lvlText w:val="(%1)"/>
      <w:numFmt w:val="decimal"/>
      <w:start w:val="21"/>
    </w:lvl>
  </w:abstractNum>
  <w:abstractNum w:abstractNumId="447">
    <w:nsid w:val="1887578D"/>
    <w:multiLevelType w:val="hybridMultilevel"/>
    <w:lvl w:ilvl="0">
      <w:lvlJc w:val="left"/>
      <w:lvlText w:val="%1"/>
      <w:numFmt w:val="decimal"/>
      <w:start w:val="1"/>
    </w:lvl>
    <w:lvl w:ilvl="1">
      <w:lvlJc w:val="left"/>
      <w:lvlText w:val="(%2)"/>
      <w:numFmt w:val="lowerLetter"/>
      <w:start w:val="3"/>
    </w:lvl>
  </w:abstractNum>
  <w:abstractNum w:abstractNumId="448">
    <w:nsid w:val="58C05B8A"/>
    <w:multiLevelType w:val="hybridMultilevel"/>
    <w:lvl w:ilvl="0">
      <w:lvlJc w:val="left"/>
      <w:lvlText w:val="(%1)"/>
      <w:numFmt w:val="decimal"/>
      <w:start w:val="1"/>
    </w:lvl>
    <w:lvl w:ilvl="1">
      <w:lvlJc w:val="left"/>
      <w:lvlText w:val="%2"/>
      <w:numFmt w:val="lowerLetter"/>
      <w:start w:val="1"/>
    </w:lvl>
  </w:abstractNum>
  <w:abstractNum w:abstractNumId="449">
    <w:nsid w:val="38D82E71"/>
    <w:multiLevelType w:val="hybridMultilevel"/>
    <w:lvl w:ilvl="0">
      <w:lvlJc w:val="left"/>
      <w:lvlText w:val="(%1)"/>
      <w:numFmt w:val="decimal"/>
      <w:start w:val="1"/>
    </w:lvl>
    <w:lvl w:ilvl="1">
      <w:lvlJc w:val="left"/>
      <w:lvlText w:val="(%2)"/>
      <w:numFmt w:val="upperLetter"/>
      <w:start w:val="1"/>
    </w:lvl>
  </w:abstractNum>
  <w:abstractNum w:abstractNumId="450">
    <w:nsid w:val="1E41098A"/>
    <w:multiLevelType w:val="hybridMultilevel"/>
    <w:lvl w:ilvl="0">
      <w:lvlJc w:val="left"/>
      <w:lvlText w:val="(%1)"/>
      <w:numFmt w:val="lowerLetter"/>
      <w:start w:val="2"/>
    </w:lvl>
  </w:abstractNum>
  <w:abstractNum w:abstractNumId="451">
    <w:nsid w:val="5398582C"/>
    <w:multiLevelType w:val="hybridMultilevel"/>
    <w:lvl w:ilvl="0">
      <w:lvlJc w:val="left"/>
      <w:lvlText w:val="%1"/>
      <w:numFmt w:val="decimal"/>
      <w:start w:val="1"/>
    </w:lvl>
    <w:lvl w:ilvl="1">
      <w:lvlJc w:val="left"/>
      <w:lvlText w:val="(%2)"/>
      <w:numFmt w:val="upperLetter"/>
      <w:start w:val="1"/>
    </w:lvl>
  </w:abstractNum>
  <w:abstractNum w:abstractNumId="452">
    <w:nsid w:val="1C0D4475"/>
    <w:multiLevelType w:val="hybridMultilevel"/>
    <w:lvl w:ilvl="0">
      <w:lvlJc w:val="left"/>
      <w:lvlText w:val="(%1)"/>
      <w:numFmt w:val="decimal"/>
      <w:start w:val="2"/>
    </w:lvl>
    <w:lvl w:ilvl="1">
      <w:lvlJc w:val="left"/>
      <w:lvlText w:val="%2"/>
      <w:numFmt w:val="upperLetter"/>
      <w:start w:val="1"/>
    </w:lvl>
  </w:abstractNum>
  <w:abstractNum w:abstractNumId="453">
    <w:nsid w:val="2CB6A6A4"/>
    <w:multiLevelType w:val="hybridMultilevel"/>
    <w:lvl w:ilvl="0">
      <w:lvlJc w:val="left"/>
      <w:lvlText w:val="(%1)"/>
      <w:numFmt w:val="lowerLetter"/>
      <w:start w:val="3"/>
    </w:lvl>
  </w:abstractNum>
  <w:abstractNum w:abstractNumId="454">
    <w:nsid w:val="41D646BC"/>
    <w:multiLevelType w:val="hybridMultilevel"/>
    <w:lvl w:ilvl="0">
      <w:lvlJc w:val="left"/>
      <w:lvlText w:val="(%1)"/>
      <w:numFmt w:val="lowerLetter"/>
      <w:start w:val="4"/>
    </w:lvl>
  </w:abstractNum>
  <w:abstractNum w:abstractNumId="455">
    <w:nsid w:val="3694A76A"/>
    <w:multiLevelType w:val="hybridMultilevel"/>
    <w:lvl w:ilvl="0">
      <w:lvlJc w:val="left"/>
      <w:lvlText w:val="(%1)"/>
      <w:numFmt w:val="decimal"/>
      <w:start w:val="1"/>
    </w:lvl>
  </w:abstractNum>
  <w:abstractNum w:abstractNumId="456">
    <w:nsid w:val="2BF876EE"/>
    <w:multiLevelType w:val="hybridMultilevel"/>
    <w:lvl w:ilvl="0">
      <w:lvlJc w:val="left"/>
      <w:lvlText w:val="(%1)"/>
      <w:numFmt w:val="decimal"/>
      <w:start w:val="1"/>
    </w:lvl>
  </w:abstractNum>
  <w:abstractNum w:abstractNumId="457">
    <w:nsid w:val="675ADBA"/>
    <w:multiLevelType w:val="hybridMultilevel"/>
    <w:lvl w:ilvl="0">
      <w:lvlJc w:val="left"/>
      <w:lvlText w:val="(%1)"/>
      <w:numFmt w:val="decimal"/>
      <w:start w:val="5"/>
    </w:lvl>
  </w:abstractNum>
  <w:abstractNum w:abstractNumId="458">
    <w:nsid w:val="C12AC7F"/>
    <w:multiLevelType w:val="hybridMultilevel"/>
    <w:lvl w:ilvl="0">
      <w:lvlJc w:val="left"/>
      <w:lvlText w:val="(%1)"/>
      <w:numFmt w:val="decimal"/>
      <w:start w:val="15"/>
    </w:lvl>
  </w:abstractNum>
  <w:abstractNum w:abstractNumId="459">
    <w:nsid w:val="6798F039"/>
    <w:multiLevelType w:val="hybridMultilevel"/>
    <w:lvl w:ilvl="0">
      <w:lvlJc w:val="left"/>
      <w:lvlText w:val="(%1)"/>
      <w:numFmt w:val="decimal"/>
      <w:start w:val="1"/>
    </w:lvl>
  </w:abstractNum>
  <w:abstractNum w:abstractNumId="460">
    <w:nsid w:val="70837C02"/>
    <w:multiLevelType w:val="hybridMultilevel"/>
    <w:lvl w:ilvl="0">
      <w:lvlJc w:val="left"/>
      <w:lvlText w:val="(%1)"/>
      <w:numFmt w:val="decimal"/>
      <w:start w:val="1"/>
    </w:lvl>
  </w:abstractNum>
  <w:abstractNum w:abstractNumId="461">
    <w:nsid w:val="7E4A5715"/>
    <w:multiLevelType w:val="hybridMultilevel"/>
    <w:lvl w:ilvl="0">
      <w:lvlJc w:val="left"/>
      <w:lvlText w:val="%1"/>
      <w:numFmt w:val="decimal"/>
      <w:start w:val="1"/>
    </w:lvl>
    <w:lvl w:ilvl="1">
      <w:lvlJc w:val="left"/>
      <w:lvlText w:val="(%2)"/>
      <w:numFmt w:val="lowerLetter"/>
      <w:start w:val="2"/>
    </w:lvl>
  </w:abstractNum>
  <w:abstractNum w:abstractNumId="462">
    <w:nsid w:val="42B8AC67"/>
    <w:multiLevelType w:val="hybridMultilevel"/>
    <w:lvl w:ilvl="0">
      <w:lvlJc w:val="left"/>
      <w:lvlText w:val="(%1)"/>
      <w:numFmt w:val="decimal"/>
      <w:start w:val="1"/>
    </w:lvl>
    <w:lvl w:ilvl="1">
      <w:lvlJc w:val="left"/>
      <w:lvlText w:val="(%2)"/>
      <w:numFmt w:val="lowerLetter"/>
      <w:start w:val="3"/>
    </w:lvl>
  </w:abstractNum>
  <w:abstractNum w:abstractNumId="463">
    <w:nsid w:val="246348EA"/>
    <w:multiLevelType w:val="hybridMultilevel"/>
    <w:lvl w:ilvl="0">
      <w:lvlJc w:val="left"/>
      <w:lvlText w:val="(%1)"/>
      <w:numFmt w:val="decimal"/>
      <w:start w:val="1"/>
    </w:lvl>
  </w:abstractNum>
  <w:abstractNum w:abstractNumId="464">
    <w:nsid w:val="170EB52B"/>
    <w:multiLevelType w:val="hybridMultilevel"/>
    <w:lvl w:ilvl="0">
      <w:lvlJc w:val="left"/>
      <w:lvlText w:val="(%1)"/>
      <w:numFmt w:val="upperLetter"/>
      <w:start w:val="1"/>
    </w:lvl>
  </w:abstractNum>
  <w:abstractNum w:abstractNumId="465">
    <w:nsid w:val="2DFBCB8C"/>
    <w:multiLevelType w:val="hybridMultilevel"/>
    <w:lvl w:ilvl="0">
      <w:lvlJc w:val="left"/>
      <w:lvlText w:val="(%1)"/>
      <w:numFmt w:val="lowerLetter"/>
      <w:start w:val="1"/>
    </w:lvl>
  </w:abstractNum>
  <w:abstractNum w:abstractNumId="466">
    <w:nsid w:val="3830D6B6"/>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467">
    <w:nsid w:val="6D48CF87"/>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468">
    <w:nsid w:val="576FC41B"/>
    <w:multiLevelType w:val="hybridMultilevel"/>
    <w:lvl w:ilvl="0">
      <w:lvlJc w:val="left"/>
      <w:lvlText w:val="(%1)"/>
      <w:numFmt w:val="decimal"/>
      <w:start w:val="6"/>
    </w:lvl>
    <w:lvl w:ilvl="1">
      <w:lvlJc w:val="left"/>
      <w:lvlText w:val="(%2)"/>
      <w:numFmt w:val="lowerLetter"/>
      <w:start w:val="2"/>
    </w:lvl>
  </w:abstractNum>
  <w:abstractNum w:abstractNumId="469">
    <w:nsid w:val="64A1C464"/>
    <w:multiLevelType w:val="hybridMultilevel"/>
    <w:lvl w:ilvl="0">
      <w:lvlJc w:val="left"/>
      <w:lvlText w:val="(%1)"/>
      <w:numFmt w:val="decimal"/>
      <w:start w:val="1"/>
    </w:lvl>
    <w:lvl w:ilvl="1">
      <w:lvlJc w:val="left"/>
      <w:lvlText w:val="(%2)"/>
      <w:numFmt w:val="lowerLetter"/>
      <w:start w:val="3"/>
    </w:lvl>
  </w:abstractNum>
  <w:abstractNum w:abstractNumId="470">
    <w:nsid w:val="31723BF5"/>
    <w:multiLevelType w:val="hybridMultilevel"/>
    <w:lvl w:ilvl="0">
      <w:lvlJc w:val="left"/>
      <w:lvlText w:val="(%1)"/>
      <w:numFmt w:val="decimal"/>
      <w:start w:val="1"/>
    </w:lvl>
    <w:lvl w:ilvl="1">
      <w:lvlJc w:val="left"/>
      <w:lvlText w:val="(%2)"/>
      <w:numFmt w:val="upperLetter"/>
      <w:start w:val="1"/>
    </w:lvl>
  </w:abstractNum>
  <w:abstractNum w:abstractNumId="471">
    <w:nsid w:val="11F69861"/>
    <w:multiLevelType w:val="hybridMultilevel"/>
    <w:lvl w:ilvl="0">
      <w:lvlJc w:val="left"/>
      <w:lvlText w:val="(%1)"/>
      <w:numFmt w:val="decimal"/>
      <w:start w:val="5"/>
    </w:lvl>
    <w:lvl w:ilvl="1">
      <w:lvlJc w:val="left"/>
      <w:lvlText w:val="(%2)"/>
      <w:numFmt w:val="lowerLetter"/>
      <w:start w:val="4"/>
    </w:lvl>
  </w:abstractNum>
  <w:abstractNum w:abstractNumId="472">
    <w:nsid w:val="369956AB"/>
    <w:multiLevelType w:val="hybridMultilevel"/>
    <w:lvl w:ilvl="0">
      <w:lvlJc w:val="left"/>
      <w:lvlText w:val="(%1)"/>
      <w:numFmt w:val="decimal"/>
      <w:start w:val="2"/>
    </w:lvl>
    <w:lvl w:ilvl="1">
      <w:lvlJc w:val="left"/>
      <w:lvlText w:val="(%2)"/>
      <w:numFmt w:val="lowerLetter"/>
      <w:start w:val="5"/>
    </w:lvl>
  </w:abstractNum>
  <w:abstractNum w:abstractNumId="473">
    <w:nsid w:val="D3BE41C"/>
    <w:multiLevelType w:val="hybridMultilevel"/>
    <w:lvl w:ilvl="0">
      <w:lvlJc w:val="left"/>
      <w:lvlText w:val="(%1)"/>
      <w:numFmt w:val="decimal"/>
      <w:start w:val="1"/>
    </w:lvl>
    <w:lvl w:ilvl="1">
      <w:lvlJc w:val="left"/>
      <w:lvlText w:val="(%2)"/>
      <w:numFmt w:val="upperLetter"/>
      <w:start w:val="2"/>
    </w:lvl>
  </w:abstractNum>
  <w:abstractNum w:abstractNumId="474">
    <w:nsid w:val="4CDA15E7"/>
    <w:multiLevelType w:val="hybridMultilevel"/>
    <w:lvl w:ilvl="0">
      <w:lvlJc w:val="left"/>
      <w:lvlText w:val="(%1)"/>
      <w:numFmt w:val="lowerLetter"/>
      <w:start w:val="6"/>
    </w:lvl>
  </w:abstractNum>
  <w:abstractNum w:abstractNumId="475">
    <w:nsid w:val="7BDD6690"/>
    <w:multiLevelType w:val="hybridMultilevel"/>
    <w:lvl w:ilvl="0">
      <w:lvlJc w:val="left"/>
      <w:lvlText w:val="(%1)"/>
      <w:numFmt w:val="decimal"/>
      <w:start w:val="1"/>
    </w:lvl>
  </w:abstractNum>
  <w:abstractNum w:abstractNumId="476">
    <w:nsid w:val="DFB5C5B"/>
    <w:multiLevelType w:val="hybridMultilevel"/>
    <w:lvl w:ilvl="0">
      <w:lvlJc w:val="left"/>
      <w:lvlText w:val="(%1)"/>
      <w:numFmt w:val="decimal"/>
      <w:start w:val="4"/>
    </w:lvl>
    <w:lvl w:ilvl="1">
      <w:lvlJc w:val="left"/>
      <w:lvlText w:val="(%2)"/>
      <w:numFmt w:val="upperLetter"/>
      <w:start w:val="1"/>
    </w:lvl>
  </w:abstractNum>
  <w:abstractNum w:abstractNumId="477">
    <w:nsid w:val="6F3E5490"/>
    <w:multiLevelType w:val="hybridMultilevel"/>
    <w:lvl w:ilvl="0">
      <w:lvlJc w:val="left"/>
      <w:lvlText w:val="%1"/>
      <w:numFmt w:val="decimal"/>
      <w:start w:val="1"/>
    </w:lvl>
    <w:lvl w:ilvl="1">
      <w:lvlJc w:val="left"/>
      <w:lvlText w:val="(%2)"/>
      <w:numFmt w:val="lowerRoman"/>
      <w:start w:val="1"/>
    </w:lvl>
  </w:abstractNum>
  <w:abstractNum w:abstractNumId="478">
    <w:nsid w:val="1464BE1E"/>
    <w:multiLevelType w:val="hybridMultilevel"/>
    <w:lvl w:ilvl="0">
      <w:lvlJc w:val="left"/>
      <w:lvlText w:val="(%1)"/>
      <w:numFmt w:val="decimal"/>
      <w:start w:val="7"/>
    </w:lvl>
    <w:lvl w:ilvl="1">
      <w:lvlJc w:val="left"/>
      <w:lvlText w:val="(%2)"/>
      <w:numFmt w:val="lowerRoman"/>
      <w:start w:val="1"/>
    </w:lvl>
  </w:abstractNum>
  <w:abstractNum w:abstractNumId="479">
    <w:nsid w:val="66BBB7E5"/>
    <w:multiLevelType w:val="hybridMultilevel"/>
    <w:lvl w:ilvl="0">
      <w:lvlJc w:val="left"/>
      <w:lvlText w:val="(%1)"/>
      <w:numFmt w:val="lowerRoman"/>
      <w:start w:val="2"/>
    </w:lvl>
  </w:abstractNum>
  <w:abstractNum w:abstractNumId="480">
    <w:nsid w:val="28168302"/>
    <w:multiLevelType w:val="hybridMultilevel"/>
    <w:lvl w:ilvl="0">
      <w:lvlJc w:val="left"/>
      <w:lvlText w:val="(%1)"/>
      <w:numFmt w:val="decimal"/>
      <w:start w:val="8"/>
    </w:lvl>
  </w:abstractNum>
  <w:abstractNum w:abstractNumId="481">
    <w:nsid w:val="32A5C7A8"/>
    <w:multiLevelType w:val="hybridMultilevel"/>
    <w:lvl w:ilvl="0">
      <w:lvlJc w:val="left"/>
      <w:lvlText w:val="(%1)"/>
      <w:numFmt w:val="decimal"/>
      <w:start w:val="1"/>
    </w:lvl>
  </w:abstractNum>
  <w:abstractNum w:abstractNumId="482">
    <w:nsid w:val="3A541011"/>
    <w:multiLevelType w:val="hybridMultilevel"/>
    <w:lvl w:ilvl="0">
      <w:lvlJc w:val="left"/>
      <w:lvlText w:val="(%1)"/>
      <w:numFmt w:val="decimal"/>
      <w:start w:val="1"/>
    </w:lvl>
  </w:abstractNum>
  <w:abstractNum w:abstractNumId="483">
    <w:nsid w:val="4423C777"/>
    <w:multiLevelType w:val="hybridMultilevel"/>
    <w:lvl w:ilvl="0">
      <w:lvlJc w:val="left"/>
      <w:lvlText w:val="(%1)"/>
      <w:numFmt w:val="lowerRoman"/>
      <w:start w:val="1"/>
    </w:lvl>
  </w:abstractNum>
  <w:abstractNum w:abstractNumId="484">
    <w:nsid w:val="5F5C6E4D"/>
    <w:multiLevelType w:val="hybridMultilevel"/>
    <w:lvl w:ilvl="0">
      <w:lvlJc w:val="left"/>
      <w:lvlText w:val="(%1)"/>
      <w:numFmt w:val="lowerLetter"/>
      <w:start w:val="1"/>
    </w:lvl>
    <w:lvl w:ilvl="1">
      <w:lvlJc w:val="left"/>
      <w:lvlText w:val="(%2)"/>
      <w:numFmt w:val="lowerRoman"/>
      <w:start w:val="1"/>
    </w:lvl>
  </w:abstractNum>
  <w:abstractNum w:abstractNumId="485">
    <w:nsid w:val="7C2A56CD"/>
    <w:multiLevelType w:val="hybridMultilevel"/>
    <w:lvl w:ilvl="0">
      <w:lvlJc w:val="left"/>
      <w:lvlText w:val="(%1)"/>
      <w:numFmt w:val="lowerLetter"/>
      <w:start w:val="1"/>
    </w:lvl>
  </w:abstractNum>
  <w:abstractNum w:abstractNumId="486">
    <w:nsid w:val="7AB86EE1"/>
    <w:multiLevelType w:val="hybridMultilevel"/>
    <w:lvl w:ilvl="0">
      <w:lvlJc w:val="left"/>
      <w:lvlText w:val="(%1)"/>
      <w:numFmt w:val="upperLetter"/>
      <w:start w:val="2"/>
    </w:lvl>
  </w:abstractNum>
  <w:abstractNum w:abstractNumId="487">
    <w:nsid w:val="B54E53B"/>
    <w:multiLevelType w:val="hybridMultilevel"/>
    <w:lvl w:ilvl="0">
      <w:lvlJc w:val="left"/>
      <w:lvlText w:val="(%1)"/>
      <w:numFmt w:val="upperLetter"/>
      <w:start w:val="1"/>
    </w:lvl>
  </w:abstractNum>
  <w:abstractNum w:abstractNumId="488">
    <w:nsid w:val="2A00487"/>
    <w:multiLevelType w:val="hybridMultilevel"/>
    <w:lvl w:ilvl="0">
      <w:lvlJc w:val="left"/>
      <w:lvlText w:val="(%1)"/>
      <w:numFmt w:val="decimal"/>
      <w:start w:val="1"/>
    </w:lvl>
    <w:lvl w:ilvl="1">
      <w:lvlJc w:val="left"/>
      <w:lvlText w:val="(%2)"/>
      <w:numFmt w:val="upperLetter"/>
      <w:start w:val="1"/>
    </w:lvl>
  </w:abstractNum>
  <w:abstractNum w:abstractNumId="489">
    <w:nsid w:val="6CB1B60"/>
    <w:multiLevelType w:val="hybridMultilevel"/>
    <w:lvl w:ilvl="0">
      <w:lvlJc w:val="left"/>
      <w:lvlText w:val="(%1)"/>
      <w:numFmt w:val="decimal"/>
      <w:start w:val="3"/>
    </w:lvl>
  </w:abstractNum>
  <w:abstractNum w:abstractNumId="490">
    <w:nsid w:val="72EDD574"/>
    <w:multiLevelType w:val="hybridMultilevel"/>
    <w:lvl w:ilvl="0">
      <w:lvlJc w:val="left"/>
      <w:lvlText w:val="(%1)"/>
      <w:numFmt w:val="decimal"/>
      <w:start w:val="1"/>
    </w:lvl>
  </w:abstractNum>
  <w:abstractNum w:abstractNumId="491">
    <w:nsid w:val="7323808A"/>
    <w:multiLevelType w:val="hybridMultilevel"/>
    <w:lvl w:ilvl="0">
      <w:lvlJc w:val="left"/>
      <w:lvlText w:val="(%1)"/>
      <w:numFmt w:val="decimal"/>
      <w:start w:val="6"/>
    </w:lvl>
  </w:abstractNum>
  <w:abstractNum w:abstractNumId="492">
    <w:nsid w:val="5157276"/>
    <w:multiLevelType w:val="hybridMultilevel"/>
    <w:lvl w:ilvl="0">
      <w:lvlJc w:val="left"/>
      <w:lvlText w:val="(%1)"/>
      <w:numFmt w:val="decimal"/>
      <w:start w:val="1"/>
    </w:lvl>
  </w:abstractNum>
  <w:abstractNum w:abstractNumId="493">
    <w:nsid w:val="35A681DB"/>
    <w:multiLevelType w:val="hybridMultilevel"/>
    <w:lvl w:ilvl="0">
      <w:lvlJc w:val="left"/>
      <w:lvlText w:val="(%1)"/>
      <w:numFmt w:val="decimal"/>
      <w:start w:val="9"/>
    </w:lvl>
  </w:abstractNum>
  <w:abstractNum w:abstractNumId="494">
    <w:nsid w:val="1786C974"/>
    <w:multiLevelType w:val="hybridMultilevel"/>
    <w:lvl w:ilvl="0">
      <w:lvlJc w:val="left"/>
      <w:lvlText w:val="(%1)"/>
      <w:numFmt w:val="decimal"/>
      <w:start w:val="1"/>
    </w:lvl>
  </w:abstractNum>
  <w:abstractNum w:abstractNumId="495">
    <w:nsid w:val="1C2427A1"/>
    <w:multiLevelType w:val="hybridMultilevel"/>
    <w:lvl w:ilvl="0">
      <w:lvlJc w:val="left"/>
      <w:lvlText w:val="(%1)"/>
      <w:numFmt w:val="decimal"/>
      <w:start w:val="1"/>
    </w:lvl>
  </w:abstractNum>
  <w:abstractNum w:abstractNumId="496">
    <w:nsid w:val="63A24D68"/>
    <w:multiLevelType w:val="hybridMultilevel"/>
    <w:lvl w:ilvl="0">
      <w:lvlJc w:val="left"/>
      <w:lvlText w:val="%1"/>
      <w:numFmt w:val="decimal"/>
      <w:start w:val="1"/>
    </w:lvl>
    <w:lvl w:ilvl="1">
      <w:lvlJc w:val="left"/>
      <w:lvlText w:val="(%2)"/>
      <w:numFmt w:val="upperLetter"/>
      <w:start w:val="2"/>
    </w:lvl>
  </w:abstractNum>
  <w:abstractNum w:abstractNumId="497">
    <w:nsid w:val="4FB7A02A"/>
    <w:multiLevelType w:val="hybridMultilevel"/>
    <w:lvl w:ilvl="0">
      <w:lvlJc w:val="left"/>
      <w:lvlText w:val="(%1)"/>
      <w:numFmt w:val="decimal"/>
      <w:start w:val="2"/>
    </w:lvl>
    <w:lvl w:ilvl="1">
      <w:lvlJc w:val="left"/>
      <w:lvlText w:val="%2"/>
      <w:numFmt w:val="upperLetter"/>
      <w:start w:val="1"/>
    </w:lvl>
  </w:abstractNum>
  <w:abstractNum w:abstractNumId="498">
    <w:nsid w:val="96CF728"/>
    <w:multiLevelType w:val="hybridMultilevel"/>
    <w:lvl w:ilvl="0">
      <w:lvlJc w:val="left"/>
      <w:lvlText w:val="%1"/>
      <w:numFmt w:val="lowerRoman"/>
      <w:start w:val="1"/>
    </w:lvl>
    <w:lvl w:ilvl="1">
      <w:lvlJc w:val="left"/>
      <w:lvlText w:val="(%2)"/>
      <w:numFmt w:val="lowerLetter"/>
      <w:start w:val="1"/>
    </w:lvl>
  </w:abstractNum>
  <w:abstractNum w:abstractNumId="499">
    <w:nsid w:val="3B121183"/>
    <w:multiLevelType w:val="hybridMultilevel"/>
    <w:lvl w:ilvl="0">
      <w:lvlJc w:val="left"/>
      <w:lvlText w:val="(%1)"/>
      <w:numFmt w:val="lowerRoman"/>
      <w:start w:val="1"/>
    </w:lvl>
    <w:lvl w:ilvl="1">
      <w:lvlJc w:val="left"/>
      <w:lvlText w:val="%2"/>
      <w:numFmt w:val="lowerLetter"/>
      <w:start w:val="1"/>
    </w:lvl>
  </w:abstractNum>
  <w:abstractNum w:abstractNumId="500">
    <w:nsid w:val="3459648F"/>
    <w:multiLevelType w:val="hybridMultilevel"/>
    <w:lvl w:ilvl="0">
      <w:lvlJc w:val="left"/>
      <w:lvlText w:val="(%1)"/>
      <w:numFmt w:val="lowerLetter"/>
      <w:start w:val="3"/>
    </w:lvl>
  </w:abstractNum>
  <w:abstractNum w:abstractNumId="501">
    <w:nsid w:val="3ADF331D"/>
    <w:multiLevelType w:val="hybridMultilevel"/>
    <w:lvl w:ilvl="0">
      <w:lvlJc w:val="left"/>
      <w:lvlText w:val="(%1)"/>
      <w:numFmt w:val="lowerLetter"/>
      <w:start w:val="1"/>
    </w:lvl>
  </w:abstractNum>
  <w:abstractNum w:abstractNumId="502">
    <w:nsid w:val="4D08A9E4"/>
    <w:multiLevelType w:val="hybridMultilevel"/>
    <w:lvl w:ilvl="0">
      <w:lvlJc w:val="left"/>
      <w:lvlText w:val="(%1)"/>
      <w:numFmt w:val="lowerLetter"/>
      <w:start w:val="3"/>
    </w:lvl>
  </w:abstractNum>
  <w:abstractNum w:abstractNumId="503">
    <w:nsid w:val="6AF2BB3A"/>
    <w:multiLevelType w:val="hybridMultilevel"/>
    <w:lvl w:ilvl="0">
      <w:lvlJc w:val="left"/>
      <w:lvlText w:val="(%1)"/>
      <w:numFmt w:val="lowerLetter"/>
      <w:start w:val="1"/>
    </w:lvl>
  </w:abstractNum>
  <w:abstractNum w:abstractNumId="504">
    <w:nsid w:val="481B1739"/>
    <w:multiLevelType w:val="hybridMultilevel"/>
    <w:lvl w:ilvl="0">
      <w:lvlJc w:val="left"/>
      <w:lvlText w:val="%1"/>
      <w:numFmt w:val="lowerRoman"/>
      <w:start w:val="1"/>
    </w:lvl>
    <w:lvl w:ilvl="1">
      <w:lvlJc w:val="left"/>
      <w:lvlText w:val="(%2)"/>
      <w:numFmt w:val="lowerLetter"/>
      <w:start w:val="1"/>
    </w:lvl>
  </w:abstractNum>
  <w:abstractNum w:abstractNumId="505">
    <w:nsid w:val="19E2BFCC"/>
    <w:multiLevelType w:val="hybridMultilevel"/>
    <w:lvl w:ilvl="0">
      <w:lvlJc w:val="left"/>
      <w:lvlText w:val="(%1)"/>
      <w:numFmt w:val="lowerRoman"/>
      <w:start w:val="1"/>
    </w:lvl>
    <w:lvl w:ilvl="1">
      <w:lvlJc w:val="left"/>
      <w:lvlText w:val="(%2)"/>
      <w:numFmt w:val="lowerLetter"/>
      <w:start w:val="2"/>
    </w:lvl>
  </w:abstractNum>
  <w:abstractNum w:abstractNumId="506">
    <w:nsid w:val="66D021CA"/>
    <w:multiLevelType w:val="hybridMultilevel"/>
    <w:lvl w:ilvl="0">
      <w:lvlJc w:val="left"/>
      <w:lvlText w:val="(%1)"/>
      <w:numFmt w:val="lowerLetter"/>
      <w:start w:val="1"/>
    </w:lvl>
    <w:lvl w:ilvl="1">
      <w:lvlJc w:val="left"/>
      <w:lvlText w:val="(%2)"/>
      <w:numFmt w:val="lowerRoman"/>
      <w:start w:val="1"/>
    </w:lvl>
  </w:abstractNum>
  <w:abstractNum w:abstractNumId="507">
    <w:nsid w:val="56167394"/>
    <w:multiLevelType w:val="hybridMultilevel"/>
    <w:lvl w:ilvl="0">
      <w:lvlJc w:val="left"/>
      <w:lvlText w:val="(%1)"/>
      <w:numFmt w:val="lowerLetter"/>
      <w:start w:val="2"/>
    </w:lvl>
  </w:abstractNum>
  <w:abstractNum w:abstractNumId="508">
    <w:nsid w:val="921145C"/>
    <w:multiLevelType w:val="hybridMultilevel"/>
    <w:lvl w:ilvl="0">
      <w:lvlJc w:val="left"/>
      <w:lvlText w:val="(%1)"/>
      <w:numFmt w:val="lowerLetter"/>
      <w:start w:val="1"/>
    </w:lvl>
  </w:abstractNum>
  <w:abstractNum w:abstractNumId="509">
    <w:nsid w:val="7B34DFE8"/>
    <w:multiLevelType w:val="hybridMultilevel"/>
    <w:lvl w:ilvl="0">
      <w:lvlJc w:val="left"/>
      <w:lvlText w:val="(%1)"/>
      <w:numFmt w:val="lowerLetter"/>
      <w:start w:val="4"/>
    </w:lvl>
  </w:abstractNum>
  <w:abstractNum w:abstractNumId="510">
    <w:nsid w:val="3CD22B79"/>
    <w:multiLevelType w:val="hybridMultilevel"/>
    <w:lvl w:ilvl="0">
      <w:lvlJc w:val="left"/>
      <w:lvlText w:val="(%1)"/>
      <w:numFmt w:val="decimal"/>
      <w:start w:val="1"/>
    </w:lvl>
    <w:lvl w:ilvl="1">
      <w:lvlJc w:val="left"/>
      <w:lvlText w:val="(%2)"/>
      <w:numFmt w:val="upperLetter"/>
      <w:start w:val="2"/>
    </w:lvl>
  </w:abstractNum>
  <w:abstractNum w:abstractNumId="511">
    <w:nsid w:val="3137975E"/>
    <w:multiLevelType w:val="hybridMultilevel"/>
    <w:lvl w:ilvl="0">
      <w:lvlJc w:val="left"/>
      <w:lvlText w:val="(%1)"/>
      <w:numFmt w:val="upperLetter"/>
      <w:start w:val="1"/>
    </w:lvl>
  </w:abstractNum>
  <w:abstractNum w:abstractNumId="512">
    <w:nsid w:val="2DDAA791"/>
    <w:multiLevelType w:val="hybridMultilevel"/>
    <w:lvl w:ilvl="0">
      <w:lvlJc w:val="left"/>
      <w:lvlText w:val="(%1)"/>
      <w:numFmt w:val="upperLetter"/>
      <w:start w:val="1"/>
    </w:lvl>
  </w:abstractNum>
  <w:abstractNum w:abstractNumId="513">
    <w:nsid w:val="77263B8A"/>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514">
    <w:nsid w:val="755B5ED6"/>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515">
    <w:nsid w:val="D3715D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516">
    <w:nsid w:val="7350925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517">
    <w:nsid w:val="7013CDB7"/>
    <w:multiLevelType w:val="hybridMultilevel"/>
    <w:lvl w:ilvl="0">
      <w:lvlJc w:val="left"/>
      <w:lvlText w:val="(%1)"/>
      <w:numFmt w:val="lowerLetter"/>
      <w:start w:val="2"/>
    </w:lvl>
  </w:abstractNum>
  <w:abstractNum w:abstractNumId="518">
    <w:nsid w:val="188BFB19"/>
    <w:multiLevelType w:val="hybridMultilevel"/>
    <w:lvl w:ilvl="0">
      <w:lvlJc w:val="left"/>
      <w:lvlText w:val="1"/>
      <w:numFmt w:val="bullet"/>
      <w:start w:val="1"/>
    </w:lvl>
  </w:abstractNum>
  <w:abstractNum w:abstractNumId="519">
    <w:nsid w:val="75F096DF"/>
    <w:multiLevelType w:val="hybridMultilevel"/>
    <w:lvl w:ilvl="0">
      <w:lvlJc w:val="left"/>
      <w:lvlText w:val="%1"/>
      <w:numFmt w:val="lowerLetter"/>
      <w:start w:val="1"/>
    </w:lvl>
    <w:lvl w:ilvl="1">
      <w:lvlJc w:val="left"/>
      <w:lvlText w:val="%2."/>
      <w:numFmt w:val="decimal"/>
      <w:start w:val="1"/>
    </w:lvl>
  </w:abstractNum>
  <w:abstractNum w:abstractNumId="520">
    <w:nsid w:val="76DEE918"/>
    <w:multiLevelType w:val="hybridMultilevel"/>
    <w:lvl w:ilvl="0">
      <w:lvlJc w:val="left"/>
      <w:lvlText w:val="(%1)"/>
      <w:numFmt w:val="lowerLetter"/>
      <w:start w:val="1"/>
    </w:lvl>
    <w:lvl w:ilvl="1">
      <w:lvlJc w:val="left"/>
      <w:lvlText w:val="%2."/>
      <w:numFmt w:val="decimal"/>
      <w:start w:val="3"/>
    </w:lvl>
  </w:abstractNum>
  <w:abstractNum w:abstractNumId="521">
    <w:nsid w:val="B79D08D"/>
    <w:multiLevelType w:val="hybridMultilevel"/>
    <w:lvl w:ilvl="0">
      <w:lvlJc w:val="left"/>
      <w:lvlText w:val="(%1)"/>
      <w:numFmt w:val="lowerLetter"/>
      <w:start w:val="1"/>
    </w:lvl>
  </w:abstractNum>
  <w:abstractNum w:abstractNumId="522">
    <w:nsid w:val="69141769"/>
    <w:multiLevelType w:val="hybridMultilevel"/>
    <w:lvl w:ilvl="0">
      <w:lvlJc w:val="left"/>
      <w:lvlText w:val="(%1)"/>
      <w:numFmt w:val="lowerLetter"/>
      <w:start w:val="4"/>
    </w:lvl>
    <w:lvl w:ilvl="1">
      <w:lvlJc w:val="left"/>
      <w:lvlText w:val="%2."/>
      <w:numFmt w:val="decimal"/>
      <w:start w:val="6"/>
    </w:lvl>
  </w:abstractNum>
  <w:abstractNum w:abstractNumId="523">
    <w:nsid w:val="7BF45B8E"/>
    <w:multiLevelType w:val="hybridMultilevel"/>
    <w:lvl w:ilvl="0">
      <w:lvlJc w:val="left"/>
      <w:lvlText w:val="%1."/>
      <w:numFmt w:val="decimal"/>
      <w:start w:val="9"/>
    </w:lvl>
  </w:abstractNum>
  <w:abstractNum w:abstractNumId="524">
    <w:nsid w:val="41205269"/>
    <w:multiLevelType w:val="hybridMultilevel"/>
    <w:lvl w:ilvl="0">
      <w:lvlJc w:val="left"/>
      <w:lvlText w:val="*"/>
      <w:numFmt w:val="bullet"/>
      <w:start w:val="1"/>
    </w:lvl>
  </w:abstractNum>
  <w:abstractNum w:abstractNumId="525">
    <w:nsid w:val="9AE0DD"/>
    <w:multiLevelType w:val="hybridMultilevel"/>
    <w:lvl w:ilvl="0">
      <w:lvlJc w:val="left"/>
      <w:lvlText w:val="["/>
      <w:numFmt w:val="bullet"/>
      <w:start w:val="1"/>
    </w:lvl>
  </w:abstractNum>
  <w:abstractNum w:abstractNumId="526">
    <w:nsid w:val="1818832F"/>
    <w:multiLevelType w:val="hybridMultilevel"/>
    <w:lvl w:ilvl="0">
      <w:lvlJc w:val="left"/>
      <w:lvlText w:val="*"/>
      <w:numFmt w:val="bullet"/>
      <w:start w:val="1"/>
    </w:lvl>
  </w:abstractNum>
  <w:abstractNum w:abstractNumId="527">
    <w:nsid w:val="24C29FD1"/>
    <w:multiLevelType w:val="hybridMultilevel"/>
    <w:lvl w:ilvl="0">
      <w:lvlJc w:val="left"/>
      <w:lvlText w:val="%1."/>
      <w:numFmt w:val="decimal"/>
      <w:start w:val="1"/>
    </w:lvl>
  </w:abstractNum>
  <w:abstractNum w:abstractNumId="528">
    <w:nsid w:val="50528108"/>
    <w:multiLevelType w:val="hybridMultilevel"/>
    <w:lvl w:ilvl="0">
      <w:lvlJc w:val="left"/>
      <w:lvlText w:val="%1."/>
      <w:numFmt w:val="decimal"/>
      <w:start w:val="3"/>
    </w:lvl>
  </w:abstractNum>
  <w:abstractNum w:abstractNumId="529">
    <w:nsid w:val="21857A57"/>
    <w:multiLevelType w:val="hybridMultilevel"/>
    <w:lvl w:ilvl="0">
      <w:lvlJc w:val="left"/>
      <w:lvlText w:val="(%1)"/>
      <w:numFmt w:val="lowerLetter"/>
      <w:start w:val="1"/>
    </w:lvl>
  </w:abstractNum>
  <w:abstractNum w:abstractNumId="530">
    <w:nsid w:val="5FD4B154"/>
    <w:multiLevelType w:val="hybridMultilevel"/>
    <w:lvl w:ilvl="0">
      <w:lvlJc w:val="left"/>
      <w:lvlText w:val="(%1)"/>
      <w:numFmt w:val="lowerLetter"/>
      <w:start w:val="3"/>
    </w:lvl>
  </w:abstractNum>
  <w:abstractNum w:abstractNumId="531">
    <w:nsid w:val="4ABE597"/>
    <w:multiLevelType w:val="hybridMultilevel"/>
    <w:lvl w:ilvl="0">
      <w:lvlJc w:val="left"/>
      <w:lvlText w:val="%1."/>
      <w:numFmt w:val="decimal"/>
      <w:start w:val="4"/>
    </w:lvl>
  </w:abstractNum>
  <w:abstractNum w:abstractNumId="532">
    <w:nsid w:val="5C64AD75"/>
    <w:multiLevelType w:val="hybridMultilevel"/>
    <w:lvl w:ilvl="0">
      <w:lvlJc w:val="left"/>
      <w:lvlText w:val="(%1)"/>
      <w:numFmt w:val="lowerLetter"/>
      <w:start w:val="1"/>
    </w:lvl>
  </w:abstractNum>
  <w:abstractNum w:abstractNumId="533">
    <w:nsid w:val="2CDD5B39"/>
    <w:multiLevelType w:val="hybridMultilevel"/>
    <w:lvl w:ilvl="0">
      <w:lvlJc w:val="left"/>
      <w:lvlText w:val="%1."/>
      <w:numFmt w:val="decimal"/>
      <w:start w:val="1"/>
    </w:lvl>
  </w:abstractNum>
  <w:abstractNum w:abstractNumId="534">
    <w:nsid w:val="6F9EA0D1"/>
    <w:multiLevelType w:val="hybridMultilevel"/>
    <w:lvl w:ilvl="0">
      <w:lvlJc w:val="left"/>
      <w:lvlText w:val="(%1)"/>
      <w:numFmt w:val="lowerLetter"/>
      <w:start w:val="1"/>
    </w:lvl>
    <w:lvl w:ilvl="1">
      <w:lvlJc w:val="left"/>
      <w:lvlText w:val="(%2)"/>
      <w:numFmt w:val="lowerRoman"/>
      <w:start w:val="1"/>
    </w:lvl>
  </w:abstractNum>
  <w:abstractNum w:abstractNumId="535">
    <w:nsid w:val="247FC4AE"/>
    <w:multiLevelType w:val="hybridMultilevel"/>
    <w:lvl w:ilvl="0">
      <w:lvlJc w:val="left"/>
      <w:lvlText w:val="%1."/>
      <w:numFmt w:val="decimal"/>
      <w:start w:val="2"/>
    </w:lvl>
  </w:abstractNum>
  <w:abstractNum w:abstractNumId="536">
    <w:nsid w:val="46C01B05"/>
    <w:multiLevelType w:val="hybridMultilevel"/>
    <w:lvl w:ilvl="0">
      <w:lvlJc w:val="left"/>
      <w:lvlText w:val="(%1)"/>
      <w:numFmt w:val="lowerLetter"/>
      <w:start w:val="1"/>
    </w:lvl>
  </w:abstractNum>
  <w:abstractNum w:abstractNumId="537">
    <w:nsid w:val="566EC29B"/>
    <w:multiLevelType w:val="hybridMultilevel"/>
    <w:lvl w:ilvl="0">
      <w:lvlJc w:val="left"/>
      <w:lvlText w:val="(%1)"/>
      <w:numFmt w:val="lowerRoman"/>
      <w:start w:val="2"/>
    </w:lvl>
  </w:abstractNum>
  <w:abstractNum w:abstractNumId="538">
    <w:nsid w:val="7A963843"/>
    <w:multiLevelType w:val="hybridMultilevel"/>
    <w:lvl w:ilvl="0">
      <w:lvlJc w:val="left"/>
      <w:lvlText w:val="(%1)"/>
      <w:numFmt w:val="lowerLetter"/>
      <w:start w:val="2"/>
    </w:lvl>
  </w:abstractNum>
  <w:abstractNum w:abstractNumId="539">
    <w:nsid w:val="4FE12F61"/>
    <w:multiLevelType w:val="hybridMultilevel"/>
    <w:lvl w:ilvl="0">
      <w:lvlJc w:val="left"/>
      <w:lvlText w:val="%1)"/>
      <w:numFmt w:val="decimal"/>
      <w:start w:val="1"/>
    </w:lvl>
    <w:lvl w:ilvl="1">
      <w:lvlJc w:val="left"/>
      <w:lvlText w:val="%2)"/>
      <w:numFmt w:val="lowerLetter"/>
      <w:start w:val="1"/>
    </w:lvl>
  </w:abstractNum>
  <w:abstractNum w:abstractNumId="540">
    <w:nsid w:val="51A3A284"/>
    <w:multiLevelType w:val="hybridMultilevel"/>
    <w:lvl w:ilvl="0">
      <w:lvlJc w:val="left"/>
      <w:lvlText w:val="%1"/>
      <w:numFmt w:val="decimal"/>
      <w:start w:val="1"/>
    </w:lvl>
    <w:lvl w:ilvl="1">
      <w:lvlJc w:val="left"/>
      <w:lvlText w:val="%2)"/>
      <w:numFmt w:val="lowerLetter"/>
      <w:start w:val="3"/>
    </w:lvl>
  </w:abstractNum>
  <w:abstractNum w:abstractNumId="541">
    <w:nsid w:val="376863BC"/>
    <w:multiLevelType w:val="hybridMultilevel"/>
    <w:lvl w:ilvl="0">
      <w:lvlJc w:val="left"/>
      <w:lvlText w:val="%1)"/>
      <w:numFmt w:val="decimal"/>
      <w:start w:val="2"/>
    </w:lvl>
    <w:lvl w:ilvl="1">
      <w:lvlJc w:val="left"/>
      <w:lvlText w:val="%2)"/>
      <w:numFmt w:val="lowerLetter"/>
      <w:start w:val="1"/>
    </w:lvl>
  </w:abstractNum>
  <w:abstractNum w:abstractNumId="542">
    <w:nsid w:val="118C6C0"/>
    <w:multiLevelType w:val="hybridMultilevel"/>
    <w:lvl w:ilvl="0">
      <w:lvlJc w:val="left"/>
      <w:lvlText w:val="%1."/>
      <w:numFmt w:val="decimal"/>
      <w:start w:val="1"/>
    </w:lvl>
  </w:abstractNum>
  <w:abstractNum w:abstractNumId="543">
    <w:nsid w:val="7F7E4A15"/>
    <w:multiLevelType w:val="hybridMultilevel"/>
    <w:lvl w:ilvl="0">
      <w:lvlJc w:val="left"/>
      <w:lvlText w:val="(%1)"/>
      <w:numFmt w:val="lowerLetter"/>
      <w:start w:val="1"/>
    </w:lvl>
  </w:abstractNum>
  <w:abstractNum w:abstractNumId="544">
    <w:nsid w:val="2E8E9F47"/>
    <w:multiLevelType w:val="hybridMultilevel"/>
    <w:lvl w:ilvl="0">
      <w:lvlJc w:val="left"/>
      <w:lvlText w:val="%1."/>
      <w:numFmt w:val="decimal"/>
      <w:start w:val="3"/>
    </w:lvl>
  </w:abstractNum>
  <w:abstractNum w:abstractNumId="545">
    <w:nsid w:val="76742596"/>
    <w:multiLevelType w:val="hybridMultilevel"/>
    <w:lvl w:ilvl="0">
      <w:lvlJc w:val="left"/>
      <w:lvlText w:val="%1"/>
      <w:numFmt w:val="upperLetter"/>
      <w:start w:val="1"/>
    </w:lvl>
    <w:lvl w:ilvl="1">
      <w:lvlJc w:val="left"/>
      <w:lvlText w:val="(%2)"/>
      <w:numFmt w:val="lowerLetter"/>
      <w:start w:val="1"/>
    </w:lvl>
  </w:abstractNum>
  <w:abstractNum w:abstractNumId="546">
    <w:nsid w:val="CB55FF3"/>
    <w:multiLevelType w:val="hybridMultilevel"/>
    <w:lvl w:ilvl="0">
      <w:lvlJc w:val="left"/>
      <w:lvlText w:val="(%1)"/>
      <w:numFmt w:val="upperLetter"/>
      <w:start w:val="2"/>
    </w:lvl>
    <w:lvl w:ilvl="1">
      <w:lvlJc w:val="left"/>
      <w:lvlText w:val="%2"/>
      <w:numFmt w:val="lowerLetter"/>
      <w:start w:val="1"/>
    </w:lvl>
  </w:abstractNum>
  <w:abstractNum w:abstractNumId="547">
    <w:nsid w:val="21DF319E"/>
    <w:multiLevelType w:val="hybridMultilevel"/>
    <w:lvl w:ilvl="0">
      <w:lvlJc w:val="left"/>
      <w:lvlText w:val="(%1)"/>
      <w:numFmt w:val="upperLetter"/>
      <w:start w:val="4"/>
    </w:lvl>
    <w:lvl w:ilvl="1">
      <w:lvlJc w:val="left"/>
      <w:lvlText w:val="(%2)"/>
      <w:numFmt w:val="lowerLetter"/>
      <w:start w:val="2"/>
    </w:lvl>
  </w:abstractNum>
  <w:abstractNum w:abstractNumId="548">
    <w:nsid w:val="6687F34D"/>
    <w:multiLevelType w:val="hybridMultilevel"/>
    <w:lvl w:ilvl="0">
      <w:lvlJc w:val="left"/>
      <w:lvlText w:val="%1."/>
      <w:numFmt w:val="decimal"/>
      <w:start w:val="5"/>
    </w:lvl>
  </w:abstractNum>
  <w:abstractNum w:abstractNumId="549">
    <w:nsid w:val="25415B0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50">
    <w:nsid w:val="17CFC87D"/>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551">
    <w:nsid w:val="5D66DC65"/>
    <w:multiLevelType w:val="hybridMultilevel"/>
    <w:lvl w:ilvl="0">
      <w:lvlJc w:val="left"/>
      <w:lvlText w:val="%1."/>
      <w:numFmt w:val="decimal"/>
      <w:start w:val="9"/>
    </w:lvl>
  </w:abstractNum>
  <w:abstractNum w:abstractNumId="552">
    <w:nsid w:val="30BB2B99"/>
    <w:multiLevelType w:val="hybridMultilevel"/>
    <w:lvl w:ilvl="0">
      <w:lvlJc w:val="left"/>
      <w:lvlText w:val="%1."/>
      <w:numFmt w:val="decimal"/>
      <w:start w:val="14"/>
    </w:lvl>
  </w:abstractNum>
  <w:abstractNum w:abstractNumId="553">
    <w:nsid w:val="E3DFE6"/>
    <w:multiLevelType w:val="hybridMultilevel"/>
    <w:lvl w:ilvl="0">
      <w:lvlJc w:val="left"/>
      <w:lvlText w:val="(%1)"/>
      <w:numFmt w:val="lowerLetter"/>
      <w:start w:val="1"/>
    </w:lvl>
  </w:abstractNum>
  <w:abstractNum w:abstractNumId="554">
    <w:nsid w:val="595B37F3"/>
    <w:multiLevelType w:val="hybridMultilevel"/>
    <w:lvl w:ilvl="0">
      <w:lvlJc w:val="left"/>
      <w:lvlText w:val="(%1)"/>
      <w:numFmt w:val="lowerLetter"/>
      <w:start w:val="6"/>
    </w:lvl>
  </w:abstractNum>
  <w:abstractNum w:abstractNumId="555">
    <w:nsid w:val="71DB7E02"/>
    <w:multiLevelType w:val="hybridMultilevel"/>
    <w:lvl w:ilvl="0">
      <w:lvlJc w:val="left"/>
      <w:lvlText w:val="%1."/>
      <w:numFmt w:val="decimal"/>
      <w:start w:val="15"/>
    </w:lvl>
    <w:lvl w:ilvl="1">
      <w:lvlJc w:val="left"/>
      <w:lvlText w:val="(%2)"/>
      <w:numFmt w:val="lowerLetter"/>
      <w:start w:val="1"/>
    </w:lvl>
  </w:abstractNum>
  <w:abstractNum w:abstractNumId="556">
    <w:nsid w:val="17EC0C4"/>
    <w:multiLevelType w:val="hybridMultilevel"/>
    <w:lvl w:ilvl="0">
      <w:lvlJc w:val="left"/>
      <w:lvlText w:val="%1"/>
      <w:numFmt w:val="decimal"/>
      <w:start w:val="1"/>
    </w:lvl>
    <w:lvl w:ilvl="1">
      <w:lvlJc w:val="left"/>
      <w:lvlText w:val="(%2)"/>
      <w:numFmt w:val="lowerLetter"/>
      <w:start w:val="11"/>
    </w:lvl>
  </w:abstractNum>
  <w:abstractNum w:abstractNumId="557">
    <w:nsid w:val="7173BB22"/>
    <w:multiLevelType w:val="hybridMultilevel"/>
    <w:lvl w:ilvl="0">
      <w:lvlJc w:val="left"/>
      <w:lvlText w:val="%1."/>
      <w:numFmt w:val="decimal"/>
      <w:start w:val="3"/>
    </w:lvl>
    <w:lvl w:ilvl="1">
      <w:lvlJc w:val="left"/>
      <w:lvlText w:val="%2"/>
      <w:numFmt w:val="lowerLetter"/>
      <w:start w:val="1"/>
    </w:lvl>
  </w:abstractNum>
  <w:abstractNum w:abstractNumId="558">
    <w:nsid w:val="169E1DD3"/>
    <w:multiLevelType w:val="hybridMultilevel"/>
    <w:lvl w:ilvl="0">
      <w:lvlJc w:val="left"/>
      <w:lvlText w:val="(%1)"/>
      <w:numFmt w:val="lowerLetter"/>
      <w:start w:val="1"/>
    </w:lvl>
  </w:abstractNum>
  <w:abstractNum w:abstractNumId="559">
    <w:nsid w:val="51D141C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2019-12-08T19:35:38Z</dcterms:created>
  <dcterms:modified xsi:type="dcterms:W3CDTF">2019-12-08T19:35:38Z</dcterms:modified>
</cp:coreProperties>
</file>